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6947"/>
        <w:gridCol w:w="7273"/>
      </w:tblGrid>
      <w:tr w:rsidR="00306C66" w:rsidRPr="001941DF" w:rsidTr="00EE7667">
        <w:tc>
          <w:tcPr>
            <w:tcW w:w="7244" w:type="dxa"/>
          </w:tcPr>
          <w:p w:rsidR="00306C66" w:rsidRPr="00693EF8" w:rsidRDefault="00306C66" w:rsidP="00EE7667">
            <w:pPr>
              <w:pStyle w:val="Nadpis4"/>
              <w:rPr>
                <w:lang w:val="cs-CZ"/>
              </w:rPr>
            </w:pPr>
            <w:r w:rsidRPr="00693EF8">
              <w:rPr>
                <w:lang w:val="cs-CZ"/>
              </w:rPr>
              <w:t>Projekty vytvářející příjmy</w:t>
            </w:r>
          </w:p>
          <w:p w:rsidR="00306C66" w:rsidRPr="00693EF8" w:rsidRDefault="00306C66" w:rsidP="00EE7667">
            <w:r w:rsidRPr="00693EF8">
              <w:t>V souvislosti s realizací projektu a následným využíváním jeho výstupů v souladu se stanovenými cíli mohou v některých případech vznikat příjmy. Tyto příjmy je nutné zohlednit při stanovení výše dotace tak, aby na jedné straně projekty měly dostatečné finanční zdroje pro realizaci, ale na druhé straně nedocházelo k jejich přefinancování.</w:t>
            </w:r>
          </w:p>
          <w:p w:rsidR="00306C66" w:rsidRPr="00693EF8" w:rsidRDefault="00306C66" w:rsidP="00EE7667">
            <w:pPr>
              <w:spacing w:beforeLines="40" w:afterLines="40"/>
              <w:rPr>
                <w:rFonts w:cs="Arial"/>
              </w:rPr>
            </w:pPr>
            <w:r w:rsidRPr="00693EF8">
              <w:rPr>
                <w:rFonts w:cs="Arial"/>
              </w:rPr>
              <w:t>Při řešení problematiky příjmů se vychází zejména z:</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čl. 61Obecného nařízení,</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čl. 65, odst. 8 Obecného nařízení,</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čl. 15 – 19 Nařízení Komise v přenesené pravomoci (EU) č. 480/2014</w:t>
            </w:r>
            <w:r w:rsidR="00E54F27" w:rsidRPr="00693EF8">
              <w:rPr>
                <w:rFonts w:cs="Arial"/>
              </w:rPr>
              <w:t xml:space="preserve"> (</w:t>
            </w:r>
            <w:r w:rsidRPr="00693EF8">
              <w:rPr>
                <w:rFonts w:cs="Arial"/>
                <w:b/>
              </w:rPr>
              <w:footnoteReference w:id="1"/>
            </w:r>
            <w:r w:rsidR="00E54F27" w:rsidRPr="00693EF8">
              <w:rPr>
                <w:rFonts w:cs="Arial"/>
              </w:rPr>
              <w:t>)</w:t>
            </w:r>
            <w:r w:rsidRPr="00693EF8">
              <w:rPr>
                <w:rFonts w:cs="Arial"/>
              </w:rPr>
              <w:t>,</w:t>
            </w:r>
          </w:p>
          <w:p w:rsidR="00306C66" w:rsidRPr="00693EF8" w:rsidRDefault="00306C66" w:rsidP="00EE7667">
            <w:pPr>
              <w:spacing w:beforeLines="40" w:afterLines="40"/>
              <w:rPr>
                <w:rFonts w:cs="Arial"/>
              </w:rPr>
            </w:pPr>
            <w:r w:rsidRPr="00693EF8">
              <w:rPr>
                <w:rFonts w:cs="Arial"/>
              </w:rPr>
              <w:t>V rámci programu rozlišujeme dva základní typy projektů vytvářejících příjem:</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Projekty vytvářející čisté příjmy dle čl. 61 Obecného nařízení</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Projekty vytvářející tzv. „Jiné peněžní příjmy“</w:t>
            </w:r>
          </w:p>
          <w:p w:rsidR="00306C66" w:rsidRPr="00693EF8" w:rsidRDefault="00306C66" w:rsidP="00EE7667">
            <w:pPr>
              <w:pStyle w:val="Nadpis5"/>
            </w:pPr>
            <w:r w:rsidRPr="00693EF8">
              <w:t>1. Projekty vytvářející čisté příjmy dle čl. 61 Obecného nařízení</w:t>
            </w:r>
          </w:p>
          <w:p w:rsidR="00306C66" w:rsidRPr="00693EF8" w:rsidRDefault="00306C66" w:rsidP="00EE7667">
            <w:r w:rsidRPr="00693EF8">
              <w:t xml:space="preserve">Jedná se </w:t>
            </w:r>
            <w:r w:rsidRPr="00693EF8">
              <w:rPr>
                <w:b/>
              </w:rPr>
              <w:t>projekty vytvářející čisté příjmy po skončení realizace, jejichž celkové způsobilé výdaje přesahují 1 mil. EUR</w:t>
            </w:r>
            <w:r w:rsidRPr="00693EF8">
              <w:t>. Hranice 1 mil. EUR způsobilých výdajů se váže na celkové způsobilé výdaje projektu před jejich úpravou (např. před odečtem tzv. jiných peněžních příjmů).</w:t>
            </w:r>
          </w:p>
          <w:p w:rsidR="00306C66" w:rsidRPr="00693EF8" w:rsidRDefault="00306C66" w:rsidP="00EE7667">
            <w:pPr>
              <w:pStyle w:val="Nadpis6"/>
              <w:rPr>
                <w:szCs w:val="22"/>
                <w:lang w:val="cs-CZ"/>
              </w:rPr>
            </w:pPr>
            <w:r w:rsidRPr="00693EF8">
              <w:rPr>
                <w:szCs w:val="22"/>
                <w:lang w:val="cs-CZ"/>
              </w:rPr>
              <w:t>1.1 Definice čistého příjmu</w:t>
            </w:r>
          </w:p>
          <w:p w:rsidR="00306C66" w:rsidRPr="00693EF8" w:rsidRDefault="00306C66" w:rsidP="00EE7667">
            <w:r w:rsidRPr="00693EF8">
              <w:rPr>
                <w:b/>
              </w:rPr>
              <w:t>Příjem</w:t>
            </w:r>
            <w:r w:rsidRPr="00693EF8">
              <w:t xml:space="preserve"> zde představuje </w:t>
            </w:r>
            <w:r w:rsidRPr="00693EF8">
              <w:rPr>
                <w:b/>
              </w:rPr>
              <w:t>přítok peněžních prostředků přímo od uživatelů zboží nebo služeb, které jsou poskytovány v rámci projektu</w:t>
            </w:r>
            <w:r w:rsidRPr="00693EF8">
              <w:t>. Myslí se tím poplatky hrazené přímo uživateli za využívání infrastruktury, prodej nebo pronájem nemovitostí (pozemků, budov, staveb) nebo platby za služby (např. vstupné do muzea účtované návštěvníkům, poplatky za školení hrazené školícími se osobami, jízdenka placena cestujícím, aj.).</w:t>
            </w:r>
          </w:p>
          <w:p w:rsidR="00306C66" w:rsidRPr="00693EF8" w:rsidRDefault="00306C66" w:rsidP="00EE7667">
            <w:pPr>
              <w:autoSpaceDE w:val="0"/>
              <w:autoSpaceDN w:val="0"/>
              <w:adjustRightInd w:val="0"/>
              <w:rPr>
                <w:rFonts w:ascii="Cambria" w:hAnsi="Cambria"/>
                <w:i/>
                <w:sz w:val="24"/>
                <w:szCs w:val="24"/>
              </w:rPr>
            </w:pPr>
            <w:r w:rsidRPr="00693EF8">
              <w:rPr>
                <w:rFonts w:ascii="Cambria" w:hAnsi="Cambria"/>
                <w:i/>
                <w:noProof/>
                <w:sz w:val="24"/>
                <w:szCs w:val="24"/>
              </w:rPr>
              <w:lastRenderedPageBreak/>
              <w:pict>
                <v:shapetype id="_x0000_t202" coordsize="21600,21600" o:spt="202" path="m,l,21600r21600,l21600,xe">
                  <v:stroke joinstyle="miter"/>
                  <v:path gradientshapeok="t" o:connecttype="rect"/>
                </v:shapetype>
                <v:shape id="Textové pole 14" o:spid="_x0000_s1037" type="#_x0000_t202" style="position:absolute;left:0;text-align:left;margin-left:235.15pt;margin-top:51pt;width:35.25pt;height:18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" stroked="f" strokeweight=".5pt">
                  <v:textbox style="mso-next-textbox:#Textové pole 14">
                    <w:txbxContent>
                      <w:p w:rsidR="00306C66" w:rsidRPr="00BA0F93" w:rsidRDefault="00350CD7" w:rsidP="00306C66">
                        <w:pPr>
                          <w:rPr>
                            <w:lang w:val="pl-PL"/>
                          </w:rPr>
                        </w:pPr>
                        <w:r>
                          <w:rPr>
                            <w:lang w:val="pl-PL"/>
                          </w:rPr>
                          <w:t>-</w:t>
                        </w:r>
                      </w:p>
                    </w:txbxContent>
                  </v:textbox>
                </v:shape>
              </w:pict>
            </w:r>
            <w:r w:rsidRPr="00693EF8">
              <w:rPr>
                <w:rFonts w:ascii="Cambria" w:hAnsi="Cambria"/>
                <w:i/>
                <w:noProof/>
                <w:sz w:val="24"/>
                <w:szCs w:val="24"/>
              </w:rPr>
              <w:pict>
                <v:shape id="Textové pole 13" o:spid="_x0000_s1036" type="#_x0000_t202" style="position:absolute;left:0;text-align:left;margin-left:85.9pt;margin-top:51pt;width:34.5pt;height:1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" stroked="f" strokeweight=".5pt">
                  <v:textbox style="mso-next-textbox:#Textové pole 13">
                    <w:txbxContent>
                      <w:p w:rsidR="00306C66" w:rsidRPr="00BA0F93" w:rsidRDefault="00306C66" w:rsidP="00306C66">
                        <w:pPr>
                          <w:rPr>
                            <w:lang w:val="pl-PL"/>
                          </w:rPr>
                        </w:pPr>
                        <w:r>
                          <w:rPr>
                            <w:lang w:val="pl-PL"/>
                          </w:rPr>
                          <w:t>=</w:t>
                        </w:r>
                      </w:p>
                    </w:txbxContent>
                  </v:textbox>
                </v:shape>
              </w:pict>
            </w:r>
            <w:r w:rsidRPr="00693EF8">
              <w:rPr>
                <w:rFonts w:ascii="Cambria" w:hAnsi="Cambria"/>
                <w:i/>
                <w:noProof/>
                <w:sz w:val="24"/>
                <w:szCs w:val="24"/>
              </w:rPr>
            </w:r>
            <w:r w:rsidRPr="00693EF8">
              <w:rPr>
                <w:rFonts w:ascii="Cambria" w:hAnsi="Cambria"/>
                <w:i/>
                <w:noProof/>
                <w:sz w:val="24"/>
                <w:szCs w:val="24"/>
              </w:rPr>
              <w:pict>
                <v:group id="Skupina 2" o:spid="_x0000_s1030" style="width:330.75pt;height:148.5pt;mso-position-horizontal-relative:char;mso-position-vertical-relative:line" coordsize="42005,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">
                  <v:rect id="Obdélník 3" o:spid="_x0000_s1031" style="position:absolute;top:3238;width:9429;height:9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Obdélník 3">
                      <w:txbxContent>
                        <w:p w:rsidR="00306C66" w:rsidRDefault="00306C66" w:rsidP="00306C66"/>
                        <w:p w:rsidR="00306C66" w:rsidRPr="003D4619" w:rsidRDefault="00306C66" w:rsidP="00306C66">
                          <w:pPr>
                            <w:rPr>
                              <w:b/>
                            </w:rPr>
                          </w:pPr>
                          <w:r w:rsidRPr="003D4619">
                            <w:rPr>
                              <w:b/>
                            </w:rPr>
                            <w:t>Čistý příjem</w:t>
                          </w:r>
                        </w:p>
                      </w:txbxContent>
                    </v:textbox>
                  </v:rect>
                  <v:rect id="Obdélník 5" o:spid="_x0000_s1032" style="position:absolute;left:16002;top:1047;width:12382;height:14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Obdélník 5">
                      <w:txbxContent>
                        <w:p w:rsidR="00306C66" w:rsidRDefault="00306C66" w:rsidP="00306C66">
                          <w:r>
                            <w:t>Přítoky peněžních prostředků přímo od uživatelů zboží nebo služeb, které jsou poskytovány v rámci projektu</w:t>
                          </w:r>
                        </w:p>
                      </w:txbxContent>
                    </v:textbox>
                  </v:rect>
                  <v:rect id="Obdélník 7" o:spid="_x0000_s1033" style="position:absolute;left:34385;width:7620;height:18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Obdélník 7">
                      <w:txbxContent>
                        <w:p w:rsidR="00306C66" w:rsidRDefault="00306C66" w:rsidP="00306C66">
                          <w:r>
                            <w:t>Veškeré provozní náklady a reprodukční náklady zařízení s krátkou životností vzniklé během příslušného období</w:t>
                          </w:r>
                        </w:p>
                      </w:txbxContent>
                    </v:textbox>
                  </v:rect>
                  <w10:wrap type="none"/>
                  <w10:anchorlock/>
                </v:group>
              </w:pict>
            </w:r>
          </w:p>
          <w:p w:rsidR="00306C66" w:rsidRPr="00693EF8" w:rsidRDefault="00306C66" w:rsidP="00EE7667"/>
          <w:p w:rsidR="00306C66" w:rsidRPr="00693EF8" w:rsidRDefault="00306C66" w:rsidP="00EE7667"/>
          <w:p w:rsidR="00306C66" w:rsidRPr="00693EF8" w:rsidRDefault="00306C66" w:rsidP="00EE7667">
            <w:r w:rsidRPr="00693EF8">
              <w:t>Čistý příjem je definován jako rozdíl mezi příjmy a provozními náklady.</w:t>
            </w:r>
          </w:p>
          <w:p w:rsidR="00306C66" w:rsidRPr="00693EF8" w:rsidRDefault="00306C66" w:rsidP="00EE7667">
            <w:r w:rsidRPr="00693EF8">
              <w:rPr>
                <w:b/>
              </w:rPr>
              <w:t>Do čistého příjmu</w:t>
            </w:r>
            <w:r w:rsidRPr="00693EF8">
              <w:t xml:space="preserve"> se zahrnují také </w:t>
            </w:r>
            <w:r w:rsidRPr="00693EF8">
              <w:rPr>
                <w:b/>
              </w:rPr>
              <w:t>úspory provozních nákladů dosažené v rámci projektu</w:t>
            </w:r>
            <w:r w:rsidRPr="00693EF8">
              <w:t>, pokud nejsou kompenzovány rovnocenným snížením dotací na provozní náklady.</w:t>
            </w:r>
          </w:p>
          <w:p w:rsidR="00306C66" w:rsidRPr="00693EF8" w:rsidRDefault="00306C66" w:rsidP="00EE7667">
            <w:r w:rsidRPr="00693EF8">
              <w:t xml:space="preserve">V případě, že všechny výdaje projektu nejsou způsobilé, přidělí se čistý příjem v poměrné výši na způsobilé a nezpůsobilé části výdajů projektu. </w:t>
            </w:r>
          </w:p>
          <w:p w:rsidR="00306C66" w:rsidRPr="00693EF8" w:rsidRDefault="00306C66" w:rsidP="00EE7667">
            <w:r w:rsidRPr="00693EF8">
              <w:t>Projekty vytvářející čisté příjmy dle čl. 61 Obecného nařízení lze dále rozdělit na:</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Projekty, jejichž příjmy lze objektivně odhadnout předem</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Projekty, jejichž příjmy nelze objektivně odhadnout předem</w:t>
            </w:r>
          </w:p>
          <w:p w:rsidR="00306C66" w:rsidRPr="00693EF8" w:rsidRDefault="00306C66" w:rsidP="00EE7667">
            <w:pPr>
              <w:pStyle w:val="Nadpis6"/>
              <w:rPr>
                <w:szCs w:val="22"/>
                <w:lang w:val="cs-CZ"/>
              </w:rPr>
            </w:pPr>
            <w:r w:rsidRPr="00693EF8">
              <w:rPr>
                <w:szCs w:val="22"/>
                <w:lang w:val="cs-CZ"/>
              </w:rPr>
              <w:t>1.2Projekty, jejichž příjmy lze objektivně odhadnout předem</w:t>
            </w:r>
          </w:p>
          <w:p w:rsidR="00306C66" w:rsidRPr="00693EF8" w:rsidRDefault="00306C66" w:rsidP="00EE7667">
            <w:r w:rsidRPr="00693EF8">
              <w:t xml:space="preserve">Pro projekty tohoto typu je zapotřebí provést </w:t>
            </w:r>
            <w:r w:rsidRPr="00693EF8">
              <w:rPr>
                <w:b/>
              </w:rPr>
              <w:t>tzv. finanční analýzu</w:t>
            </w:r>
            <w:r w:rsidRPr="00693EF8">
              <w:t xml:space="preserve">. Příjmy jsou sledovány na úrovni jednotlivých partnerů projektu, protože se může stát, že aktivity nějakého partnera projektu příjmy v projektu vůbec nezakládají, aktivity jiného partnera ano. </w:t>
            </w:r>
          </w:p>
          <w:p w:rsidR="00306C66" w:rsidRPr="00693EF8" w:rsidRDefault="00306C66" w:rsidP="00EE7667">
            <w:r w:rsidRPr="00693EF8">
              <w:t xml:space="preserve">Obvykle se tato analýza provádí z hlediska vlastníka infrastruktury. Pokud jsou však jejím vlastníkem a provozovatelem různé subjekty, musí být provedena konsolidovaná finanční analýza. Konsolidaci je nutné provést u těch subjektů, které skutečně realizují výstup projektu a u kterých přesáhnou náklady nebo příjmy 5 % celkového rozpočtu nebo celkových příjmů projektu (tj. příjmy provozovatele v souvislosti s projektem přesáhnou 5 % celkových příjmů projektu či celkové výdaje provozovatele v souvislosti s projektem přesáhnou 5 % celkových výdajů projektu). </w:t>
            </w:r>
          </w:p>
          <w:p w:rsidR="00306C66" w:rsidRPr="00693EF8" w:rsidRDefault="00306C66" w:rsidP="00EE7667">
            <w:r w:rsidRPr="00693EF8">
              <w:t xml:space="preserve">Finanční analýza je prováděna metodou diskontovaných peněžních toků, přičemž platí, že se uvažují pouze peněžní toky, tj. částka peněz, která se v rámci projektu skutečně získá nebo vyplatí. Nepeněžní účetní položky (např. odpisy) nesmějí být do analýzy diskontovaných peněžních toků zahrnuty. Při agregaci peněžních toků, k nimž došlo v různých letech, je nutné zohlednit časovou hodnotu peněz. Budoucí peněžní toky se proto diskontují k současnému okamžiku pomocí diskontního faktoru, který se s časem snižuje a jehož velikost je určena volbou diskontní sazby. Evropskou komisí je doporučena a pro účely výpočtu finanční mezery </w:t>
            </w:r>
            <w:r w:rsidRPr="00693EF8">
              <w:lastRenderedPageBreak/>
              <w:t xml:space="preserve">bude pro projekty používána výše reálné finanční diskontní sazby 4 %, tudíž i analýza musí být prováděna v reálných (stálých) cenách, tj. bez zohlednění inflace. Hotovostní toky kalkulujeme na určitý počet let. Jde o časové období, kdy je možno ověřit, zda byla investice úspěšná. Tuto dobu nazýváme </w:t>
            </w:r>
            <w:r w:rsidRPr="00693EF8">
              <w:rPr>
                <w:b/>
              </w:rPr>
              <w:t>referenčním obdobím</w:t>
            </w:r>
            <w:r w:rsidRPr="00693EF8">
              <w:t>, které se různí v závislosti na hospodářském odvětví a typu investice. Následující tabulka uvádí referenční období pro některá odvětví definované Evropskou komisí. Jedná se o konečné stanovení referenčního období, od kterého se nelze odchýlit. V případě, že pro sektor není referenční období stanovené, bude využito referenční období „ostatní sektory“, tj. 10-15 let.</w:t>
            </w:r>
          </w:p>
          <w:p w:rsidR="00306C66" w:rsidRPr="00693EF8" w:rsidRDefault="00306C66" w:rsidP="00EE7667"/>
          <w:p w:rsidR="00306C66" w:rsidRPr="00693EF8" w:rsidRDefault="00306C66" w:rsidP="00EE7667"/>
          <w:p w:rsidR="00306C66" w:rsidRPr="00693EF8" w:rsidRDefault="00306C66" w:rsidP="00EE7667"/>
          <w:p w:rsidR="00306C66" w:rsidRPr="00693EF8" w:rsidRDefault="00306C66" w:rsidP="00EE76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1"/>
              <w:gridCol w:w="3320"/>
            </w:tblGrid>
            <w:tr w:rsidR="00306C66" w:rsidRPr="00693EF8" w:rsidTr="00EE7667">
              <w:trPr>
                <w:trHeight w:val="103"/>
              </w:trPr>
              <w:tc>
                <w:tcPr>
                  <w:tcW w:w="3544" w:type="dxa"/>
                  <w:shd w:val="clear" w:color="auto" w:fill="8DB3E2"/>
                </w:tcPr>
                <w:p w:rsidR="00306C66" w:rsidRPr="00693EF8" w:rsidRDefault="00306C66" w:rsidP="00EE7667">
                  <w:pPr>
                    <w:rPr>
                      <w:b/>
                    </w:rPr>
                  </w:pPr>
                  <w:r w:rsidRPr="00693EF8">
                    <w:rPr>
                      <w:b/>
                    </w:rPr>
                    <w:t>Sektor</w:t>
                  </w:r>
                </w:p>
              </w:tc>
              <w:tc>
                <w:tcPr>
                  <w:tcW w:w="3474" w:type="dxa"/>
                  <w:shd w:val="clear" w:color="auto" w:fill="8DB3E2"/>
                </w:tcPr>
                <w:p w:rsidR="00306C66" w:rsidRPr="00693EF8" w:rsidRDefault="00306C66" w:rsidP="00EE7667">
                  <w:pPr>
                    <w:jc w:val="center"/>
                    <w:rPr>
                      <w:b/>
                    </w:rPr>
                  </w:pPr>
                  <w:r w:rsidRPr="00693EF8">
                    <w:rPr>
                      <w:b/>
                    </w:rPr>
                    <w:t>Referenční období</w:t>
                  </w:r>
                </w:p>
              </w:tc>
            </w:tr>
            <w:tr w:rsidR="00306C66" w:rsidRPr="00693EF8" w:rsidTr="00EE7667">
              <w:trPr>
                <w:trHeight w:val="104"/>
              </w:trPr>
              <w:tc>
                <w:tcPr>
                  <w:tcW w:w="3544" w:type="dxa"/>
                </w:tcPr>
                <w:p w:rsidR="00306C66" w:rsidRPr="00693EF8" w:rsidRDefault="00306C66" w:rsidP="00EE7667">
                  <w:pPr>
                    <w:rPr>
                      <w:b/>
                    </w:rPr>
                  </w:pPr>
                  <w:r w:rsidRPr="00693EF8">
                    <w:rPr>
                      <w:b/>
                    </w:rPr>
                    <w:t>Pozemní komunikace</w:t>
                  </w:r>
                </w:p>
              </w:tc>
              <w:tc>
                <w:tcPr>
                  <w:tcW w:w="3474" w:type="dxa"/>
                </w:tcPr>
                <w:p w:rsidR="00306C66" w:rsidRPr="00693EF8" w:rsidRDefault="00306C66" w:rsidP="00EE7667">
                  <w:pPr>
                    <w:jc w:val="center"/>
                  </w:pPr>
                  <w:r w:rsidRPr="00693EF8">
                    <w:t>25-30</w:t>
                  </w:r>
                </w:p>
              </w:tc>
            </w:tr>
            <w:tr w:rsidR="00306C66" w:rsidRPr="00693EF8" w:rsidTr="00EE7667">
              <w:trPr>
                <w:trHeight w:val="104"/>
              </w:trPr>
              <w:tc>
                <w:tcPr>
                  <w:tcW w:w="3544" w:type="dxa"/>
                </w:tcPr>
                <w:p w:rsidR="00306C66" w:rsidRPr="00693EF8" w:rsidRDefault="00306C66" w:rsidP="00EE7667">
                  <w:pPr>
                    <w:rPr>
                      <w:b/>
                    </w:rPr>
                  </w:pPr>
                  <w:r w:rsidRPr="00693EF8">
                    <w:rPr>
                      <w:b/>
                    </w:rPr>
                    <w:t>Odpadové hospodářství</w:t>
                  </w:r>
                </w:p>
              </w:tc>
              <w:tc>
                <w:tcPr>
                  <w:tcW w:w="3474" w:type="dxa"/>
                </w:tcPr>
                <w:p w:rsidR="00306C66" w:rsidRPr="00693EF8" w:rsidRDefault="00306C66" w:rsidP="00EE7667">
                  <w:pPr>
                    <w:jc w:val="center"/>
                  </w:pPr>
                  <w:r w:rsidRPr="00693EF8">
                    <w:t>25-30</w:t>
                  </w:r>
                </w:p>
              </w:tc>
            </w:tr>
            <w:tr w:rsidR="00306C66" w:rsidRPr="00693EF8" w:rsidTr="00EE7667">
              <w:trPr>
                <w:trHeight w:val="104"/>
              </w:trPr>
              <w:tc>
                <w:tcPr>
                  <w:tcW w:w="3544" w:type="dxa"/>
                </w:tcPr>
                <w:p w:rsidR="00306C66" w:rsidRPr="00693EF8" w:rsidRDefault="00306C66" w:rsidP="00EE7667">
                  <w:pPr>
                    <w:rPr>
                      <w:b/>
                    </w:rPr>
                  </w:pPr>
                  <w:r w:rsidRPr="00693EF8">
                    <w:rPr>
                      <w:b/>
                    </w:rPr>
                    <w:t>Výzkum a inovace</w:t>
                  </w:r>
                </w:p>
              </w:tc>
              <w:tc>
                <w:tcPr>
                  <w:tcW w:w="3474" w:type="dxa"/>
                </w:tcPr>
                <w:p w:rsidR="00306C66" w:rsidRPr="00693EF8" w:rsidRDefault="00306C66" w:rsidP="00EE7667">
                  <w:pPr>
                    <w:jc w:val="center"/>
                  </w:pPr>
                  <w:r w:rsidRPr="00693EF8">
                    <w:t>15-25</w:t>
                  </w:r>
                </w:p>
              </w:tc>
            </w:tr>
            <w:tr w:rsidR="00306C66" w:rsidRPr="00693EF8" w:rsidTr="00EE7667">
              <w:trPr>
                <w:trHeight w:val="104"/>
              </w:trPr>
              <w:tc>
                <w:tcPr>
                  <w:tcW w:w="3544" w:type="dxa"/>
                </w:tcPr>
                <w:p w:rsidR="00306C66" w:rsidRPr="00693EF8" w:rsidRDefault="00306C66" w:rsidP="00EE7667">
                  <w:pPr>
                    <w:rPr>
                      <w:b/>
                    </w:rPr>
                  </w:pPr>
                  <w:r w:rsidRPr="00693EF8">
                    <w:rPr>
                      <w:b/>
                    </w:rPr>
                    <w:t>Podnikatelská infrastruktura</w:t>
                  </w:r>
                </w:p>
              </w:tc>
              <w:tc>
                <w:tcPr>
                  <w:tcW w:w="3474" w:type="dxa"/>
                </w:tcPr>
                <w:p w:rsidR="00306C66" w:rsidRPr="00693EF8" w:rsidRDefault="00306C66" w:rsidP="00EE7667">
                  <w:pPr>
                    <w:jc w:val="center"/>
                  </w:pPr>
                  <w:r w:rsidRPr="00693EF8">
                    <w:t>10-15</w:t>
                  </w:r>
                </w:p>
              </w:tc>
            </w:tr>
            <w:tr w:rsidR="00306C66" w:rsidRPr="00693EF8" w:rsidTr="00EE7667">
              <w:trPr>
                <w:trHeight w:val="104"/>
              </w:trPr>
              <w:tc>
                <w:tcPr>
                  <w:tcW w:w="3544" w:type="dxa"/>
                </w:tcPr>
                <w:p w:rsidR="00306C66" w:rsidRPr="00693EF8" w:rsidRDefault="00306C66" w:rsidP="00EE7667">
                  <w:pPr>
                    <w:rPr>
                      <w:b/>
                    </w:rPr>
                  </w:pPr>
                  <w:r w:rsidRPr="00693EF8">
                    <w:rPr>
                      <w:b/>
                    </w:rPr>
                    <w:t>Energie</w:t>
                  </w:r>
                </w:p>
              </w:tc>
              <w:tc>
                <w:tcPr>
                  <w:tcW w:w="3474" w:type="dxa"/>
                </w:tcPr>
                <w:p w:rsidR="00306C66" w:rsidRPr="00693EF8" w:rsidRDefault="00306C66" w:rsidP="00EE7667">
                  <w:pPr>
                    <w:jc w:val="center"/>
                  </w:pPr>
                  <w:r w:rsidRPr="00693EF8">
                    <w:t>15-25</w:t>
                  </w:r>
                </w:p>
              </w:tc>
            </w:tr>
            <w:tr w:rsidR="00306C66" w:rsidRPr="00693EF8" w:rsidTr="00EE7667">
              <w:trPr>
                <w:trHeight w:val="104"/>
              </w:trPr>
              <w:tc>
                <w:tcPr>
                  <w:tcW w:w="3544" w:type="dxa"/>
                </w:tcPr>
                <w:p w:rsidR="00306C66" w:rsidRPr="00693EF8" w:rsidRDefault="00306C66" w:rsidP="00EE7667">
                  <w:pPr>
                    <w:rPr>
                      <w:b/>
                    </w:rPr>
                  </w:pPr>
                  <w:r w:rsidRPr="00693EF8">
                    <w:rPr>
                      <w:b/>
                    </w:rPr>
                    <w:t>Dodávky vody/čištění vody</w:t>
                  </w:r>
                </w:p>
              </w:tc>
              <w:tc>
                <w:tcPr>
                  <w:tcW w:w="3474" w:type="dxa"/>
                </w:tcPr>
                <w:p w:rsidR="00306C66" w:rsidRPr="00693EF8" w:rsidRDefault="00306C66" w:rsidP="00EE7667">
                  <w:pPr>
                    <w:jc w:val="center"/>
                  </w:pPr>
                  <w:r w:rsidRPr="00693EF8">
                    <w:t>30</w:t>
                  </w:r>
                </w:p>
              </w:tc>
            </w:tr>
            <w:tr w:rsidR="00306C66" w:rsidRPr="00693EF8" w:rsidTr="00EE7667">
              <w:trPr>
                <w:trHeight w:val="104"/>
              </w:trPr>
              <w:tc>
                <w:tcPr>
                  <w:tcW w:w="3544" w:type="dxa"/>
                </w:tcPr>
                <w:p w:rsidR="00306C66" w:rsidRPr="00693EF8" w:rsidRDefault="00306C66" w:rsidP="00EE7667">
                  <w:pPr>
                    <w:rPr>
                      <w:b/>
                    </w:rPr>
                  </w:pPr>
                  <w:r w:rsidRPr="00693EF8">
                    <w:rPr>
                      <w:b/>
                    </w:rPr>
                    <w:t>Městská doprava</w:t>
                  </w:r>
                </w:p>
              </w:tc>
              <w:tc>
                <w:tcPr>
                  <w:tcW w:w="3474" w:type="dxa"/>
                </w:tcPr>
                <w:p w:rsidR="00306C66" w:rsidRPr="00693EF8" w:rsidRDefault="00306C66" w:rsidP="00EE7667">
                  <w:pPr>
                    <w:jc w:val="center"/>
                  </w:pPr>
                  <w:r w:rsidRPr="00693EF8">
                    <w:t>25-30</w:t>
                  </w:r>
                </w:p>
              </w:tc>
            </w:tr>
            <w:tr w:rsidR="00306C66" w:rsidRPr="00693EF8" w:rsidTr="00EE7667">
              <w:trPr>
                <w:trHeight w:val="104"/>
              </w:trPr>
              <w:tc>
                <w:tcPr>
                  <w:tcW w:w="3544" w:type="dxa"/>
                </w:tcPr>
                <w:p w:rsidR="00306C66" w:rsidRPr="00693EF8" w:rsidRDefault="00306C66" w:rsidP="00EE7667">
                  <w:pPr>
                    <w:rPr>
                      <w:b/>
                    </w:rPr>
                  </w:pPr>
                  <w:r w:rsidRPr="00693EF8">
                    <w:rPr>
                      <w:b/>
                    </w:rPr>
                    <w:t>Ostatní sektory</w:t>
                  </w:r>
                </w:p>
              </w:tc>
              <w:tc>
                <w:tcPr>
                  <w:tcW w:w="3474" w:type="dxa"/>
                </w:tcPr>
                <w:p w:rsidR="00306C66" w:rsidRPr="00693EF8" w:rsidRDefault="00306C66" w:rsidP="00EE7667">
                  <w:pPr>
                    <w:jc w:val="center"/>
                  </w:pPr>
                  <w:r w:rsidRPr="00693EF8">
                    <w:t>10-15</w:t>
                  </w:r>
                </w:p>
              </w:tc>
            </w:tr>
          </w:tbl>
          <w:p w:rsidR="00306C66" w:rsidRPr="00693EF8" w:rsidRDefault="00306C66" w:rsidP="00EE7667">
            <w:r w:rsidRPr="00693EF8">
              <w:t xml:space="preserve">V případě, že některá projektová aktiva mají delší životnost než je referenční období projektu, je důležité zohlednit jejich </w:t>
            </w:r>
            <w:r w:rsidRPr="00693EF8">
              <w:rPr>
                <w:b/>
              </w:rPr>
              <w:t>zůstatkovou hodnotu</w:t>
            </w:r>
            <w:r w:rsidRPr="00693EF8">
              <w:t xml:space="preserve">. Ta je vypočítána jako čistá současná hodnota čistých příjmů plynoucích z investice po zbývající dobu životnosti a musí být zahrnuta do peněžních toků jako příjem posledního roku referenčního období. I když se zůstatková hodnota započítává do příjmu projektu, nemůže být rozhodujícím faktorem, zda projekt vytváří či nevytváří čistý příjem podle čl. 61 Obecného nařízení. Tedy </w:t>
            </w:r>
            <w:r w:rsidRPr="00693EF8">
              <w:rPr>
                <w:b/>
              </w:rPr>
              <w:t xml:space="preserve">pokud příjmy projektu bez zůstatkové hodnoty nepřevýší provozní </w:t>
            </w:r>
            <w:r w:rsidRPr="00693EF8">
              <w:rPr>
                <w:b/>
              </w:rPr>
              <w:footnoteReference w:id="2"/>
            </w:r>
            <w:r w:rsidRPr="00693EF8">
              <w:rPr>
                <w:b/>
              </w:rPr>
              <w:t>výdaje projektu, nejedná se o projekt vytvářející čistý příjem dle čl. 61.</w:t>
            </w:r>
          </w:p>
          <w:p w:rsidR="00306C66" w:rsidRPr="00693EF8" w:rsidRDefault="00306C66" w:rsidP="00EE7667">
            <w:pPr>
              <w:rPr>
                <w:u w:val="single"/>
              </w:rPr>
            </w:pPr>
          </w:p>
          <w:p w:rsidR="00306C66" w:rsidRPr="00693EF8" w:rsidRDefault="00306C66" w:rsidP="00EE7667">
            <w:pPr>
              <w:rPr>
                <w:u w:val="single"/>
              </w:rPr>
            </w:pPr>
            <w:r w:rsidRPr="00693EF8">
              <w:rPr>
                <w:u w:val="single"/>
              </w:rPr>
              <w:t>Výpočet finanční mezery a stanovení výše podpory</w:t>
            </w:r>
          </w:p>
          <w:p w:rsidR="00306C66" w:rsidRPr="00693EF8" w:rsidRDefault="00306C66" w:rsidP="00EE7667">
            <w:r w:rsidRPr="00693EF8">
              <w:t xml:space="preserve">Umožňuje-li to povaha projektu, pracuje se při výpočtu výše podpory prostřednictvím finanční mezery s rozdílovou variantou příjmů, provozních výdajů a zůstatkové hodnoty (tzv. přírůstková metoda). Zvažuje se rozdíl mezi scénářem „s projektem“ (investiční varianta) a alternativním scénářem „bez projektu „ (nulová varianta). Rozhodující jsou pouze příjmy a </w:t>
            </w:r>
            <w:r w:rsidRPr="00693EF8">
              <w:lastRenderedPageBreak/>
              <w:t>výdaje, které by v případě nulové varianty nebyly realizovány (tj. byly vyvolány projektem).</w:t>
            </w:r>
          </w:p>
          <w:p w:rsidR="00306C66" w:rsidRPr="00693EF8" w:rsidRDefault="00306C66" w:rsidP="00EE7667">
            <w:r w:rsidRPr="00693EF8">
              <w:t xml:space="preserve">Vstupy jsou vyčísleny na základě rozdílu mezi investiční a nulovou variantou projektu. </w:t>
            </w:r>
          </w:p>
          <w:p w:rsidR="00306C66" w:rsidRPr="00693EF8" w:rsidRDefault="00306C66" w:rsidP="00EE7667">
            <w:r w:rsidRPr="00693EF8">
              <w:t xml:space="preserve">Veškeré vstupy jsou u partnerů projektu, kteří nejsou plátci DPH, kalkulovány včetně DPH a u plátců DPH (mají-li nárok na odpočet) bez DPH. Jejich výše musí být v souladu s hodnotami obsaženými v projektové žádosti. </w:t>
            </w:r>
          </w:p>
          <w:p w:rsidR="00306C66" w:rsidRPr="00693EF8" w:rsidRDefault="00306C66" w:rsidP="00EE7667">
            <w:r w:rsidRPr="00693EF8">
              <w:t>Pro jednoduchost jsou při výpočtu finanční mezery ignorovány daně (kromě DPH v některých případech – viz odstavec výše) a to v případěvšech projektů, kterých se výpočet finanční mezery týká.</w:t>
            </w:r>
          </w:p>
          <w:p w:rsidR="00306C66" w:rsidRPr="00693EF8" w:rsidRDefault="00306C66" w:rsidP="00EE7667">
            <w:pPr>
              <w:autoSpaceDE w:val="0"/>
              <w:autoSpaceDN w:val="0"/>
              <w:adjustRightInd w:val="0"/>
            </w:pPr>
            <w:r w:rsidRPr="00693EF8">
              <w:t>Za účelem výpočtu finanční mezery a stanovení výše podpory příslušný projektový partner, jehož části projektu se příjmy týkají, vyplňuje jako přílohu k projektové žádosti tabulku zohledňující metodu Finanční mezery -  viz příloha č 25 Příručky pro žadatele a tuto přílohu nahraje do ISKP (informační systém konečného příjemce). K tabulce je uvedeno také vysvětlení – viz přílohy č. 25 Příručky pro žadatele.</w:t>
            </w:r>
          </w:p>
          <w:p w:rsidR="00306C66" w:rsidRPr="00693EF8" w:rsidRDefault="00306C66" w:rsidP="00EE7667">
            <w:pPr>
              <w:autoSpaceDE w:val="0"/>
              <w:autoSpaceDN w:val="0"/>
              <w:adjustRightInd w:val="0"/>
            </w:pPr>
            <w:r w:rsidRPr="00693EF8">
              <w:t xml:space="preserve">Na základě uvedených veličin (včetně předpokládaných příjmů v projektové žádosti a v tabulce pro výpočet finanční mezery je vypočtena výše podpory, která je po schválení projektu rovněž uvedena ve Smlouvě o projektu či v Rozhodnutí o poskytnutí dotace. </w:t>
            </w:r>
          </w:p>
          <w:p w:rsidR="00306C66" w:rsidRPr="00693EF8" w:rsidRDefault="00306C66" w:rsidP="00EE7667">
            <w:pPr>
              <w:autoSpaceDE w:val="0"/>
              <w:autoSpaceDN w:val="0"/>
              <w:adjustRightInd w:val="0"/>
            </w:pPr>
            <w:r w:rsidRPr="00693EF8">
              <w:t>Postup monitorování čistých příjmů v období realizace projektu a v období po realizaci projektu je popsán v Příručce pro příjemce dotace.</w:t>
            </w:r>
          </w:p>
          <w:p w:rsidR="00306C66" w:rsidRPr="00693EF8" w:rsidRDefault="00306C66" w:rsidP="00EE7667">
            <w:pPr>
              <w:autoSpaceDE w:val="0"/>
              <w:autoSpaceDN w:val="0"/>
              <w:adjustRightInd w:val="0"/>
            </w:pPr>
          </w:p>
          <w:p w:rsidR="00306C66" w:rsidRPr="00693EF8" w:rsidRDefault="00306C66" w:rsidP="00EE7667">
            <w:pPr>
              <w:autoSpaceDE w:val="0"/>
              <w:autoSpaceDN w:val="0"/>
              <w:adjustRightInd w:val="0"/>
            </w:pPr>
          </w:p>
          <w:p w:rsidR="00306C66" w:rsidRPr="00693EF8" w:rsidRDefault="00306C66" w:rsidP="00EE7667">
            <w:pPr>
              <w:autoSpaceDE w:val="0"/>
              <w:autoSpaceDN w:val="0"/>
              <w:adjustRightInd w:val="0"/>
            </w:pPr>
          </w:p>
          <w:p w:rsidR="00306C66" w:rsidRPr="00693EF8" w:rsidRDefault="00306C66" w:rsidP="00EE7667">
            <w:pPr>
              <w:autoSpaceDE w:val="0"/>
              <w:autoSpaceDN w:val="0"/>
              <w:adjustRightInd w:val="0"/>
            </w:pPr>
          </w:p>
          <w:p w:rsidR="00306C66" w:rsidRPr="00693EF8" w:rsidRDefault="00306C66" w:rsidP="00EE7667">
            <w:pPr>
              <w:pStyle w:val="Nadpis6"/>
              <w:rPr>
                <w:szCs w:val="22"/>
                <w:lang w:val="cs-CZ"/>
              </w:rPr>
            </w:pPr>
            <w:r w:rsidRPr="00693EF8">
              <w:rPr>
                <w:szCs w:val="22"/>
                <w:lang w:val="cs-CZ"/>
              </w:rPr>
              <w:t>1.3 Projekty, jejichž příjmy nelze objektivně odhadnout předem</w:t>
            </w:r>
          </w:p>
          <w:p w:rsidR="00306C66" w:rsidRPr="00693EF8" w:rsidRDefault="00306C66" w:rsidP="00EE7667">
            <w:pPr>
              <w:autoSpaceDE w:val="0"/>
              <w:autoSpaceDN w:val="0"/>
              <w:adjustRightInd w:val="0"/>
            </w:pPr>
            <w:r w:rsidRPr="00693EF8">
              <w:t>Nemožnost odhadnout objektivně příjmy předem může nastat zejména u projektů zaměřených na výzkum, technologický rozvoj a inovace, kdy je poptávka vytvářená nabídkou (tj. realizovaným projektem) a nelze tedy její výši odhadnout předem. Z důvodu nedostatku údajů a předchozích zkušeností jsou veškeré odhady vysoce subjektivní. V tomto případě při přípravě projektové žádosti žádný z partnerů projektu nezpracovává kalkulaci příjmů. Zohledňovány jsou až skutečně dosažené příjmy a to postupem uvedeným v Příručce pro příjemce dotace.</w:t>
            </w:r>
          </w:p>
          <w:p w:rsidR="00306C66" w:rsidRPr="00693EF8" w:rsidRDefault="00306C66" w:rsidP="00EE7667">
            <w:pPr>
              <w:autoSpaceDE w:val="0"/>
              <w:autoSpaceDN w:val="0"/>
              <w:adjustRightInd w:val="0"/>
            </w:pPr>
          </w:p>
          <w:p w:rsidR="00306C66" w:rsidRPr="00693EF8" w:rsidRDefault="00306C66" w:rsidP="00EE7667">
            <w:pPr>
              <w:autoSpaceDE w:val="0"/>
              <w:autoSpaceDN w:val="0"/>
              <w:adjustRightInd w:val="0"/>
            </w:pPr>
          </w:p>
          <w:p w:rsidR="00E54F27" w:rsidRPr="00693EF8" w:rsidRDefault="00E54F27" w:rsidP="00EE7667">
            <w:pPr>
              <w:pStyle w:val="Nadpis5"/>
            </w:pPr>
          </w:p>
          <w:p w:rsidR="00306C66" w:rsidRPr="00693EF8" w:rsidRDefault="00306C66" w:rsidP="00EE7667">
            <w:pPr>
              <w:pStyle w:val="Nadpis5"/>
            </w:pPr>
            <w:r w:rsidRPr="00693EF8">
              <w:t>2. Projekty vytvářející tzv. „Jiné peněžní příjmy“</w:t>
            </w:r>
          </w:p>
          <w:p w:rsidR="00306C66" w:rsidRPr="00693EF8" w:rsidRDefault="00306C66" w:rsidP="00EE7667">
            <w:pPr>
              <w:autoSpaceDE w:val="0"/>
              <w:autoSpaceDN w:val="0"/>
              <w:adjustRightInd w:val="0"/>
            </w:pPr>
            <w:r w:rsidRPr="00693EF8">
              <w:t xml:space="preserve">Jiné peněžní příjmy jsou všechny čisté příjmy vytvořené projektem během realizace, které nespadají pod aplikaci čl.61 Obecného nařízení, tedy nespadají pod aplikaci předchozí kapitoly. Do tohoto typu příjmů patří také např. v rámci projektu vybudování nové silnice, čisté příjmy z prodeje vykácených stromů, v případě projektu na opravu kulturní památky čisté příjmy z prodeje starých oken. </w:t>
            </w:r>
          </w:p>
          <w:p w:rsidR="00306C66" w:rsidRPr="00693EF8" w:rsidRDefault="00306C66" w:rsidP="00EE7667">
            <w:pPr>
              <w:autoSpaceDE w:val="0"/>
              <w:autoSpaceDN w:val="0"/>
              <w:adjustRightInd w:val="0"/>
            </w:pPr>
            <w:r w:rsidRPr="00693EF8">
              <w:t>Projekty lze z hlediska jiných peněžních příjmů dále dělit na:</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 xml:space="preserve">projekty ve výši do </w:t>
            </w:r>
            <w:r w:rsidR="00F046B8" w:rsidRPr="00693EF8">
              <w:rPr>
                <w:rFonts w:cs="Arial"/>
              </w:rPr>
              <w:t>10</w:t>
            </w:r>
            <w:r w:rsidRPr="00693EF8">
              <w:rPr>
                <w:rFonts w:cs="Arial"/>
              </w:rPr>
              <w:t>0 000 EUR</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lastRenderedPageBreak/>
              <w:t xml:space="preserve">projekty ve výši nad </w:t>
            </w:r>
            <w:r w:rsidR="00F046B8" w:rsidRPr="00693EF8">
              <w:rPr>
                <w:rFonts w:cs="Arial"/>
              </w:rPr>
              <w:t>10</w:t>
            </w:r>
            <w:r w:rsidRPr="00693EF8">
              <w:rPr>
                <w:rFonts w:cs="Arial"/>
              </w:rPr>
              <w:t xml:space="preserve">0 000 EUR </w:t>
            </w:r>
          </w:p>
          <w:p w:rsidR="00306C66" w:rsidRPr="00693EF8" w:rsidRDefault="00306C66" w:rsidP="00EE7667">
            <w:pPr>
              <w:shd w:val="clear" w:color="auto" w:fill="CCC0D9"/>
              <w:autoSpaceDE w:val="0"/>
              <w:autoSpaceDN w:val="0"/>
              <w:adjustRightInd w:val="0"/>
            </w:pPr>
            <w:r w:rsidRPr="00693EF8">
              <w:rPr>
                <w:b/>
              </w:rPr>
              <w:t>Upozornění:</w:t>
            </w:r>
            <w:r w:rsidRPr="00693EF8">
              <w:t xml:space="preserve"> V případě projektů vytvářejících čistý příjem po ukončení realizace, jejichž celkové způsobilé výdaje nepřekračují 1 mil. EUR, nebudou čisté příjmy po ukončení realizace sledovány.</w:t>
            </w:r>
          </w:p>
          <w:p w:rsidR="00306C66" w:rsidRPr="00693EF8" w:rsidRDefault="00306C66" w:rsidP="00EE7667">
            <w:pPr>
              <w:autoSpaceDE w:val="0"/>
              <w:autoSpaceDN w:val="0"/>
              <w:adjustRightInd w:val="0"/>
            </w:pPr>
            <w:r w:rsidRPr="00693EF8">
              <w:t>Čistý příjem vzniklý v průběhu realizace projektu představuje příjmy snížené o náklady spojené s jejich vznikem, za předpokladu, že náklady nepředstavují způsobilé výdaje.</w:t>
            </w:r>
          </w:p>
          <w:p w:rsidR="00306C66" w:rsidRPr="00693EF8" w:rsidRDefault="00306C66" w:rsidP="00EE7667">
            <w:pPr>
              <w:autoSpaceDE w:val="0"/>
              <w:autoSpaceDN w:val="0"/>
              <w:adjustRightInd w:val="0"/>
            </w:pPr>
          </w:p>
          <w:p w:rsidR="00306C66" w:rsidRPr="00693EF8" w:rsidRDefault="00306C66" w:rsidP="00EE7667">
            <w:pPr>
              <w:pStyle w:val="Nadpis6"/>
              <w:rPr>
                <w:szCs w:val="22"/>
                <w:lang w:val="cs-CZ"/>
              </w:rPr>
            </w:pPr>
            <w:r w:rsidRPr="00693EF8">
              <w:rPr>
                <w:szCs w:val="22"/>
                <w:lang w:val="cs-CZ"/>
              </w:rPr>
              <w:t xml:space="preserve">a) Projekty do </w:t>
            </w:r>
            <w:r w:rsidR="00F046B8" w:rsidRPr="00693EF8">
              <w:rPr>
                <w:szCs w:val="22"/>
                <w:lang w:val="cs-CZ"/>
              </w:rPr>
              <w:t>10</w:t>
            </w:r>
            <w:r w:rsidRPr="00693EF8">
              <w:rPr>
                <w:szCs w:val="22"/>
                <w:lang w:val="cs-CZ"/>
              </w:rPr>
              <w:t xml:space="preserve">0 000 EUR </w:t>
            </w:r>
          </w:p>
          <w:p w:rsidR="00306C66" w:rsidRPr="00693EF8" w:rsidRDefault="00306C66" w:rsidP="00EE7667">
            <w:pPr>
              <w:autoSpaceDE w:val="0"/>
              <w:autoSpaceDN w:val="0"/>
              <w:adjustRightInd w:val="0"/>
            </w:pPr>
            <w:r w:rsidRPr="00693EF8">
              <w:t xml:space="preserve">V rámci projektů, jejichž celkové způsobilé výdaje nepřekročí částku </w:t>
            </w:r>
            <w:r w:rsidR="00F046B8" w:rsidRPr="00693EF8">
              <w:t>10</w:t>
            </w:r>
            <w:r w:rsidRPr="00693EF8">
              <w:t>0 000 EUR, jsou, s ohledem na převážně neinvestiční charakter projektů, sledovány pouze čisté příjmy, které vzniknou v průběhu realizace projektu.</w:t>
            </w:r>
          </w:p>
          <w:p w:rsidR="00306C66" w:rsidRPr="00693EF8" w:rsidRDefault="00306C66" w:rsidP="00EE7667">
            <w:pPr>
              <w:autoSpaceDE w:val="0"/>
              <w:autoSpaceDN w:val="0"/>
              <w:adjustRightInd w:val="0"/>
            </w:pPr>
            <w:r w:rsidRPr="00693EF8">
              <w:t>Veškeré čisté příjmy, které v průběhu realizace projektu vzniknou, mohou být každým projektovým partnerem použity jako zdroj spolufinancování projektu místo vlastních prostředků</w:t>
            </w:r>
            <w:r w:rsidR="0040174F" w:rsidRPr="00693EF8">
              <w:t xml:space="preserve"> </w:t>
            </w:r>
            <w:r w:rsidR="0040174F" w:rsidRPr="00693EF8">
              <w:rPr>
                <w:rStyle w:val="Znakapoznpodarou"/>
              </w:rPr>
              <w:footnoteReference w:id="3"/>
            </w:r>
            <w:r w:rsidRPr="00693EF8">
              <w:t>. Do výše vlastního podílu spolufinancování tak čisté příjmy nemají vliv na výši dotace. V případě, že čisté příjmy překročí vlastní podíl spolufinancování, dochází nejprve ke krácení dotace ze SR (byla-li poskytnuta) a následně ke krácení dotace z EFRR a to o částku, o kterou čisté příjmy vlastní podíl spolufinancování překročily. V rámci fondu mikroprojektů se postup týká individuálních i společných mikroprojektů. Stejně jako u individuálních projektů, i u Fondu mikroprojektů žadatel provede kalkulaci předpokládaných příjmů již při přípravě projektové žádosti a tuto kalkulaci dokládá jako přílohu projektové žádosti. Po skončení realizace projektu doloží hodnotu skutečně dosažených příjmů. Pokud čisté příjmy překračují vlastní podíl spolufinancování, dochází ke krácení dotace ze SR a z EFRR.</w:t>
            </w:r>
          </w:p>
          <w:p w:rsidR="00306C66" w:rsidRPr="00693EF8" w:rsidRDefault="00306C66" w:rsidP="00EE7667">
            <w:pPr>
              <w:pStyle w:val="Nadpis6"/>
              <w:rPr>
                <w:szCs w:val="22"/>
                <w:lang w:val="cs-CZ"/>
              </w:rPr>
            </w:pPr>
            <w:r w:rsidRPr="00693EF8">
              <w:rPr>
                <w:szCs w:val="22"/>
                <w:lang w:val="cs-CZ"/>
              </w:rPr>
              <w:t xml:space="preserve">b) Projekty nad </w:t>
            </w:r>
            <w:r w:rsidR="00F046B8" w:rsidRPr="00693EF8">
              <w:rPr>
                <w:szCs w:val="22"/>
                <w:lang w:val="cs-CZ"/>
              </w:rPr>
              <w:t>10</w:t>
            </w:r>
            <w:r w:rsidRPr="00693EF8">
              <w:rPr>
                <w:szCs w:val="22"/>
                <w:lang w:val="cs-CZ"/>
              </w:rPr>
              <w:t>0 000 EUR</w:t>
            </w:r>
          </w:p>
          <w:p w:rsidR="00306C66" w:rsidRPr="00693EF8" w:rsidRDefault="00306C66" w:rsidP="00EE7667">
            <w:pPr>
              <w:autoSpaceDE w:val="0"/>
              <w:autoSpaceDN w:val="0"/>
              <w:adjustRightInd w:val="0"/>
            </w:pPr>
            <w:r w:rsidRPr="00693EF8">
              <w:t>Pro mikroprojekty i projekty, jejichž celkové z</w:t>
            </w:r>
            <w:r w:rsidR="00F046B8" w:rsidRPr="00693EF8">
              <w:t>působilé výdaje činí více, než 10</w:t>
            </w:r>
            <w:r w:rsidRPr="00693EF8">
              <w:t>0 000 euro platí, že způsobilé výdaje projektu se sníží o čistý příjem, který byl přímo vytvořen pouze během realizace projektu, nejpozději do okamžiku, kdy příjemce předloží závěrečnou žádost o platbu. Pokud nejsou pro spolufinancování způsobilé všechny výdaje, rozdělí se čisté příjmy v poměrné výši na způsobilé a nezpůsobilé části výdajů.</w:t>
            </w:r>
          </w:p>
          <w:p w:rsidR="0040174F" w:rsidRPr="00693EF8" w:rsidRDefault="0040174F" w:rsidP="00EE7667">
            <w:pPr>
              <w:pStyle w:val="Nadpis5"/>
            </w:pPr>
          </w:p>
          <w:p w:rsidR="0040174F" w:rsidRPr="00693EF8" w:rsidRDefault="0040174F" w:rsidP="00EE7667">
            <w:pPr>
              <w:pStyle w:val="Nadpis5"/>
            </w:pPr>
          </w:p>
          <w:p w:rsidR="00306C66" w:rsidRPr="00693EF8" w:rsidRDefault="00306C66" w:rsidP="00EE7667">
            <w:pPr>
              <w:pStyle w:val="Nadpis5"/>
            </w:pPr>
            <w:r w:rsidRPr="00693EF8">
              <w:t>3. Výjimky z uplatňování pravidel pro projekty vytvářející příjmy</w:t>
            </w:r>
          </w:p>
          <w:p w:rsidR="00306C66" w:rsidRPr="00693EF8" w:rsidRDefault="00306C66" w:rsidP="00EE7667">
            <w:pPr>
              <w:autoSpaceDE w:val="0"/>
              <w:autoSpaceDN w:val="0"/>
              <w:adjustRightInd w:val="0"/>
            </w:pPr>
            <w:r w:rsidRPr="00693EF8">
              <w:t xml:space="preserve">Za příjem projektu se v souladu s ustanovením odst. 8, čl. 65 Obecného nařízení nepovažují platby, které projektový partner obdrží ze smluvních pokut v důsledku porušení smlouvy mezi projektovým partnerem a třetí osobou či osobami nebo které vznikají v důsledku toho, že třetí </w:t>
            </w:r>
            <w:r w:rsidRPr="00693EF8">
              <w:lastRenderedPageBreak/>
              <w:t xml:space="preserve">osoba vybraná podle pravidel pro zadávání veřejných zakázek svou nabídku stáhne (peněžní jistota). </w:t>
            </w:r>
          </w:p>
          <w:p w:rsidR="00306C66" w:rsidRPr="00693EF8" w:rsidRDefault="00306C66" w:rsidP="00EE7667">
            <w:pPr>
              <w:autoSpaceDE w:val="0"/>
              <w:autoSpaceDN w:val="0"/>
              <w:adjustRightInd w:val="0"/>
            </w:pPr>
            <w:r w:rsidRPr="00693EF8">
              <w:t>Rovněž jsou z příjmů vyloučeny veškeré transfery a dotace ze státního rozpočtu, regionálních a místních rozpočtů či příspěvky z veřejného pojištění, DPH a jiné nepřímé daně ukládané spotřebiteli.</w:t>
            </w:r>
          </w:p>
          <w:p w:rsidR="00306C66" w:rsidRPr="00693EF8" w:rsidRDefault="00306C66" w:rsidP="00EE7667">
            <w:pPr>
              <w:autoSpaceDE w:val="0"/>
              <w:autoSpaceDN w:val="0"/>
              <w:adjustRightInd w:val="0"/>
            </w:pPr>
            <w:r w:rsidRPr="00693EF8">
              <w:t xml:space="preserve">Dále se za projekt vytvářející příjmy nepovažují: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 xml:space="preserve">projekty nevytvářející příjmy (např. silnice bez výkonového zpoplatnění jako je mýtné, dálniční známky apod.);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 xml:space="preserve">projekty nevytvářející čisté příjmy (jejich příjmy nestačí k plnému pokrytí provozních nákladů);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 xml:space="preserve">projekty podléhající pravidlům veřejné podpory;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projekty technické pomoci;</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projekty, které nevytváří čisté příjmy v tzv. rozdílové variantě, tj. pokud již existující infrastruktura je zpoplatněna a její čisté příjmy se po realizaci projektu (kterým byla investice do této infrastruktury) nezvýší</w:t>
            </w:r>
          </w:p>
        </w:tc>
        <w:tc>
          <w:tcPr>
            <w:tcW w:w="8108" w:type="dxa"/>
          </w:tcPr>
          <w:p w:rsidR="00306C66" w:rsidRPr="00693EF8" w:rsidRDefault="00306C66" w:rsidP="00EE7667">
            <w:pPr>
              <w:pStyle w:val="Nadpis4"/>
              <w:rPr>
                <w:rFonts w:cs="Calibri"/>
                <w:lang w:val="pl-PL"/>
              </w:rPr>
            </w:pPr>
            <w:bookmarkStart w:id="0" w:name="_Ref442284161"/>
            <w:r w:rsidRPr="00693EF8">
              <w:rPr>
                <w:lang w:val="pl-PL"/>
              </w:rPr>
              <w:lastRenderedPageBreak/>
              <w:t>Projekty generujące dochód</w:t>
            </w:r>
            <w:bookmarkEnd w:id="0"/>
          </w:p>
          <w:p w:rsidR="00306C66" w:rsidRPr="00693EF8" w:rsidRDefault="00306C66" w:rsidP="00EE7667">
            <w:pPr>
              <w:spacing w:beforeLines="40" w:afterLines="40"/>
              <w:rPr>
                <w:rFonts w:cs="Arial"/>
                <w:lang w:val="pl-PL"/>
              </w:rPr>
            </w:pPr>
            <w:r w:rsidRPr="00693EF8">
              <w:rPr>
                <w:rFonts w:cs="Arial"/>
                <w:lang w:val="pl-PL"/>
              </w:rPr>
              <w:t>W związku z realizacją projektu i następnie wykorzystywaniem jego produktów zgodnie z określonymi celami w niektórych przypadkach mogą powstać dochody. Dochody te należy uwzględnić przy określaniu wysokości dofinansowania w taki sposób, aby z jednej strony projekty miały dostateczne źródła finansowe do realizacji, ale z drugiej strony aby nie dochodziło do ich nadmiernego finansowania.</w:t>
            </w:r>
          </w:p>
          <w:p w:rsidR="00306C66" w:rsidRPr="00693EF8" w:rsidRDefault="00306C66" w:rsidP="00EE7667">
            <w:pPr>
              <w:spacing w:beforeLines="40" w:afterLines="40"/>
              <w:rPr>
                <w:rFonts w:cs="Arial"/>
                <w:lang w:val="pl-PL"/>
              </w:rPr>
            </w:pPr>
            <w:r w:rsidRPr="00693EF8">
              <w:rPr>
                <w:rFonts w:cs="Arial"/>
                <w:lang w:val="pl-PL"/>
              </w:rPr>
              <w:t>Przy rozwiązywaniu problematyki dochodów korzysta się zwłaszcza z:</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 xml:space="preserve">art. 61 Rozporządzenia Ogólnego, </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 xml:space="preserve">art. 65 ust. 8 Rozporządzenia Ogólnego, </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art. 15-19 Rozporządzenia delegowanego Komisji (UE) nr 480/2014</w:t>
            </w:r>
            <w:r w:rsidR="00E54F27" w:rsidRPr="00693EF8">
              <w:rPr>
                <w:rFonts w:cs="Arial"/>
                <w:lang w:val="pl-PL"/>
              </w:rPr>
              <w:t xml:space="preserve"> (</w:t>
            </w:r>
            <w:r w:rsidRPr="00693EF8">
              <w:rPr>
                <w:rFonts w:cs="Arial"/>
                <w:b/>
                <w:lang w:val="pl-PL"/>
              </w:rPr>
              <w:footnoteReference w:id="4"/>
            </w:r>
            <w:r w:rsidR="00E54F27" w:rsidRPr="00693EF8">
              <w:rPr>
                <w:rFonts w:cs="Arial"/>
                <w:lang w:val="pl-PL"/>
              </w:rPr>
              <w:t>)</w:t>
            </w:r>
          </w:p>
          <w:p w:rsidR="00306C66" w:rsidRPr="00693EF8" w:rsidRDefault="00306C66" w:rsidP="00EE7667">
            <w:pPr>
              <w:spacing w:beforeLines="40" w:afterLines="40"/>
              <w:rPr>
                <w:rFonts w:cs="Arial"/>
                <w:lang w:val="pl-PL"/>
              </w:rPr>
            </w:pPr>
            <w:r w:rsidRPr="00693EF8">
              <w:rPr>
                <w:rFonts w:cs="Arial"/>
                <w:lang w:val="pl-PL"/>
              </w:rPr>
              <w:t>W ramach programu rozróżniamy dwa podstawowe typy projektów generujących dochód:</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Projekty generujące dochód zgodnie z art. 61 Rozporządzenia Ogólnego</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Projekty generujące tzw. „Inne dochody”</w:t>
            </w:r>
          </w:p>
          <w:p w:rsidR="00306C66" w:rsidRPr="00693EF8" w:rsidRDefault="00306C66" w:rsidP="00EE7667">
            <w:pPr>
              <w:pStyle w:val="Nadpis5"/>
            </w:pPr>
            <w:r w:rsidRPr="00693EF8">
              <w:t>1. Projekty generujące dochód zgodnie z art. 61 Rozporządzenia Ogólnego</w:t>
            </w:r>
          </w:p>
          <w:p w:rsidR="00306C66" w:rsidRPr="00693EF8" w:rsidRDefault="00306C66" w:rsidP="00EE7667">
            <w:pPr>
              <w:spacing w:beforeLines="40" w:afterLines="40"/>
              <w:rPr>
                <w:rFonts w:cs="Arial"/>
                <w:lang w:val="pl-PL"/>
              </w:rPr>
            </w:pPr>
            <w:r w:rsidRPr="00693EF8">
              <w:rPr>
                <w:rFonts w:cs="Arial"/>
                <w:lang w:val="pl-PL"/>
              </w:rPr>
              <w:t>Są to projekty generujące dochód po zakończeniu realizacji, których całkowite wydatki kwalifikowalne przekraczają 1 mln EUR. Limit 1 mln EUR wydatków kwalifikowanych odnosi się do całkowitych wydatków kwalifikowalnych przed ich korektą (np. przed odliczeniem tzw. innych dochodów).</w:t>
            </w:r>
          </w:p>
          <w:p w:rsidR="00306C66" w:rsidRPr="00693EF8" w:rsidRDefault="00306C66" w:rsidP="00EE7667">
            <w:pPr>
              <w:pStyle w:val="Nadpis6"/>
              <w:rPr>
                <w:szCs w:val="22"/>
                <w:lang w:val="pl-PL"/>
              </w:rPr>
            </w:pPr>
            <w:r w:rsidRPr="00693EF8">
              <w:rPr>
                <w:szCs w:val="22"/>
                <w:lang w:val="pl-PL"/>
              </w:rPr>
              <w:t>1.1 Definicja dochodu</w:t>
            </w:r>
          </w:p>
          <w:p w:rsidR="00306C66" w:rsidRPr="00693EF8" w:rsidRDefault="00306C66" w:rsidP="00EE7667">
            <w:pPr>
              <w:spacing w:beforeLines="40" w:afterLines="40"/>
              <w:rPr>
                <w:rFonts w:cs="Arial"/>
                <w:lang w:val="pl-PL"/>
              </w:rPr>
            </w:pPr>
            <w:r w:rsidRPr="00693EF8">
              <w:rPr>
                <w:rFonts w:cs="Arial"/>
                <w:b/>
                <w:lang w:val="pl-PL"/>
              </w:rPr>
              <w:t>Przychód</w:t>
            </w:r>
            <w:r w:rsidRPr="00693EF8">
              <w:rPr>
                <w:rFonts w:cs="Arial"/>
                <w:lang w:val="pl-PL"/>
              </w:rPr>
              <w:t xml:space="preserve"> to </w:t>
            </w:r>
            <w:r w:rsidRPr="00693EF8">
              <w:rPr>
                <w:rFonts w:cs="Arial"/>
                <w:b/>
                <w:lang w:val="pl-PL"/>
              </w:rPr>
              <w:t>wpływy środków pieniężnych z bezpośrednich wpłat dokonywanych przez użytkowników za towary lub usługi zapewniane w ramach projektu</w:t>
            </w:r>
            <w:r w:rsidRPr="00693EF8">
              <w:rPr>
                <w:rFonts w:cs="Arial"/>
                <w:lang w:val="pl-PL"/>
              </w:rPr>
              <w:t>. Rozumie się przez to opłaty ponoszone bezpośrednio przez użytkowników za użytkowanie infrastruktury, sprzedaż lub dzierżawę nieruchomości (gruntów, budynków, budowli) albo opłaty za usługi (np. opłaty za wstęp do muzeum naliczane odwiedzającym, opłaty za szkolenie uiszczane przez szkolące się osoby, bilety na przejazd kupowane przez podróżnego i in.).</w:t>
            </w:r>
          </w:p>
          <w:p w:rsidR="00306C66" w:rsidRPr="00693EF8" w:rsidRDefault="00306C66" w:rsidP="00EE7667">
            <w:pPr>
              <w:autoSpaceDE w:val="0"/>
              <w:autoSpaceDN w:val="0"/>
              <w:adjustRightInd w:val="0"/>
              <w:rPr>
                <w:rFonts w:ascii="Cambria" w:hAnsi="Cambria" w:cs="Calibri"/>
                <w:i/>
                <w:sz w:val="24"/>
                <w:szCs w:val="24"/>
                <w:lang w:val="pl-PL"/>
              </w:rPr>
            </w:pPr>
            <w:r w:rsidRPr="00693EF8">
              <w:rPr>
                <w:rFonts w:ascii="Cambria" w:hAnsi="Cambria" w:cs="Calibri"/>
                <w:i/>
                <w:noProof/>
                <w:sz w:val="24"/>
                <w:szCs w:val="24"/>
              </w:rPr>
              <w:lastRenderedPageBreak/>
              <w:pict>
                <v:shape id="Textové pole 19" o:spid="_x0000_s1035" type="#_x0000_t202" style="position:absolute;left:0;text-align:left;margin-left:238.85pt;margin-top:57.85pt;width:14.25pt;height:21.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" stroked="f" strokeweight=".5pt">
                  <v:textbox style="mso-next-textbox:#Textové pole 19">
                    <w:txbxContent>
                      <w:p w:rsidR="00306C66" w:rsidRPr="00BA0F93" w:rsidRDefault="00350CD7" w:rsidP="00306C66">
                        <w:pPr>
                          <w:rPr>
                            <w:lang w:val="pl-PL"/>
                          </w:rPr>
                        </w:pPr>
                        <w:r>
                          <w:rPr>
                            <w:lang w:val="pl-PL"/>
                          </w:rPr>
                          <w:t>-</w:t>
                        </w:r>
                      </w:p>
                    </w:txbxContent>
                  </v:textbox>
                </v:shape>
              </w:pict>
            </w:r>
            <w:r w:rsidRPr="00693EF8">
              <w:rPr>
                <w:rFonts w:ascii="Cambria" w:hAnsi="Cambria" w:cs="Calibri"/>
                <w:i/>
                <w:noProof/>
                <w:sz w:val="24"/>
                <w:szCs w:val="24"/>
              </w:rPr>
              <w:pict>
                <v:shape id="Textové pole 18" o:spid="_x0000_s1034" type="#_x0000_t202" style="position:absolute;left:0;text-align:left;margin-left:81.8pt;margin-top:57.1pt;width:34.5pt;height:16.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" stroked="f" strokeweight=".5pt">
                  <v:textbox style="mso-next-textbox:#Textové pole 18">
                    <w:txbxContent>
                      <w:p w:rsidR="00306C66" w:rsidRPr="00BA0F93" w:rsidRDefault="00306C66" w:rsidP="00306C66">
                        <w:pPr>
                          <w:rPr>
                            <w:lang w:val="pl-PL"/>
                          </w:rPr>
                        </w:pPr>
                        <w:r>
                          <w:rPr>
                            <w:lang w:val="pl-PL"/>
                          </w:rPr>
                          <w:t>=</w:t>
                        </w:r>
                      </w:p>
                    </w:txbxContent>
                  </v:textbox>
                </v:shape>
              </w:pict>
            </w:r>
            <w:r w:rsidRPr="00693EF8">
              <w:rPr>
                <w:rFonts w:ascii="Cambria" w:hAnsi="Cambria" w:cs="Calibri"/>
                <w:i/>
                <w:noProof/>
                <w:sz w:val="24"/>
                <w:szCs w:val="24"/>
              </w:rPr>
            </w:r>
            <w:r w:rsidRPr="00693EF8">
              <w:rPr>
                <w:rFonts w:ascii="Cambria" w:hAnsi="Cambria" w:cs="Calibri"/>
                <w:i/>
                <w:noProof/>
                <w:sz w:val="24"/>
                <w:szCs w:val="24"/>
              </w:rPr>
              <w:pict>
                <v:group id="Skupina 24" o:spid="_x0000_s1026" style="width:338.25pt;height:175.2pt;mso-position-horizontal-relative:char;mso-position-vertical-relative:line" coordsize="42957,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">
                  <v:rect id="Obdélník 25" o:spid="_x0000_s1027" style="position:absolute;top:4667;width:9144;height:8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style="mso-next-textbox:#Obdélník 25">
                      <w:txbxContent>
                        <w:p w:rsidR="00306C66" w:rsidRDefault="00306C66" w:rsidP="00306C66"/>
                        <w:p w:rsidR="00306C66" w:rsidRPr="00DA236D" w:rsidRDefault="00306C66" w:rsidP="00306C66">
                          <w:pPr>
                            <w:rPr>
                              <w:b/>
                            </w:rPr>
                          </w:pPr>
                          <w:r w:rsidRPr="00DA236D">
                            <w:rPr>
                              <w:b/>
                            </w:rPr>
                            <w:t xml:space="preserve">Dochód </w:t>
                          </w:r>
                        </w:p>
                      </w:txbxContent>
                    </v:textbox>
                  </v:rect>
                  <v:rect id="Obdélník 26" o:spid="_x0000_s1028" style="position:absolute;left:16002;top:952;width:14325;height:172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style="mso-next-textbox:#Obdélník 26">
                      <w:txbxContent>
                        <w:p w:rsidR="00306C66" w:rsidRDefault="00306C66" w:rsidP="00306C66">
                          <w:r>
                            <w:t>Wpływy środków pieniężnych z bezpośrednich wpłat dokonywanych przez użytkowników za towary lub usługi zapewniane w ramach projektu</w:t>
                          </w:r>
                        </w:p>
                      </w:txbxContent>
                    </v:textbox>
                  </v:rect>
                  <v:rect id="Obdélník 27" o:spid="_x0000_s1029" style="position:absolute;left:32956;width:10001;height:22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style="mso-next-textbox:#Obdélník 27">
                      <w:txbxContent>
                        <w:p w:rsidR="00306C66" w:rsidRDefault="00306C66" w:rsidP="00306C66">
                          <w:r>
                            <w:t xml:space="preserve">Wszelkie koszty operacyjne i koszty odtworzenia wyposażenia krótkotrwałego poniesione w danym okresie odniesienia  </w:t>
                          </w:r>
                        </w:p>
                      </w:txbxContent>
                    </v:textbox>
                  </v:rect>
                  <w10:wrap type="none"/>
                  <w10:anchorlock/>
                </v:group>
              </w:pict>
            </w:r>
          </w:p>
          <w:p w:rsidR="00306C66" w:rsidRPr="00693EF8" w:rsidRDefault="00306C66" w:rsidP="00EE7667">
            <w:pPr>
              <w:spacing w:beforeLines="40" w:afterLines="40"/>
              <w:rPr>
                <w:rFonts w:cs="Arial"/>
                <w:lang w:val="pl-PL"/>
              </w:rPr>
            </w:pPr>
            <w:r w:rsidRPr="00693EF8">
              <w:rPr>
                <w:rFonts w:cs="Arial"/>
                <w:lang w:val="pl-PL"/>
              </w:rPr>
              <w:t>Dochód jest definiowany jako różnica między przychodami a kosztami operacyjnymi.</w:t>
            </w:r>
          </w:p>
          <w:p w:rsidR="00306C66" w:rsidRPr="00693EF8" w:rsidRDefault="00306C66" w:rsidP="00EE7667">
            <w:pPr>
              <w:spacing w:beforeLines="40" w:afterLines="40"/>
              <w:rPr>
                <w:rFonts w:cs="Arial"/>
                <w:lang w:val="pl-PL"/>
              </w:rPr>
            </w:pPr>
            <w:r w:rsidRPr="00693EF8">
              <w:rPr>
                <w:rFonts w:cs="Arial"/>
                <w:b/>
                <w:lang w:val="pl-PL"/>
              </w:rPr>
              <w:t xml:space="preserve">Jako dochód </w:t>
            </w:r>
            <w:r w:rsidRPr="00693EF8">
              <w:rPr>
                <w:rFonts w:cs="Arial"/>
                <w:lang w:val="pl-PL"/>
              </w:rPr>
              <w:t xml:space="preserve">traktowane są także </w:t>
            </w:r>
            <w:r w:rsidRPr="00693EF8">
              <w:rPr>
                <w:rFonts w:cs="Arial"/>
                <w:b/>
                <w:lang w:val="pl-PL"/>
              </w:rPr>
              <w:t>oszczędności kosztów działalności (operacyjnych) osiągnięte w ramach projektu</w:t>
            </w:r>
            <w:r w:rsidRPr="00693EF8">
              <w:rPr>
                <w:rFonts w:cs="Arial"/>
                <w:lang w:val="pl-PL"/>
              </w:rPr>
              <w:t>, chyba że są skompensowane równoważnym zmniejszeniem dotacji na działalność (tzn. na koszty operacyjne).</w:t>
            </w:r>
          </w:p>
          <w:p w:rsidR="00306C66" w:rsidRPr="00693EF8" w:rsidRDefault="00306C66" w:rsidP="00EE7667">
            <w:pPr>
              <w:spacing w:beforeLines="40" w:afterLines="40"/>
              <w:rPr>
                <w:rFonts w:cs="Arial"/>
                <w:lang w:val="pl-PL"/>
              </w:rPr>
            </w:pPr>
            <w:r w:rsidRPr="00693EF8">
              <w:rPr>
                <w:rFonts w:cs="Arial"/>
                <w:lang w:val="pl-PL"/>
              </w:rPr>
              <w:t>W przypadku, gdy nie wszystkie wydatki projektu są kwalifikowalne, dochód powinien zostać przyporządkowany proporcjonalnie do kwalifikowalnych i niekwalifikowalnych części wydatków projektu.</w:t>
            </w:r>
          </w:p>
          <w:p w:rsidR="00306C66" w:rsidRPr="00693EF8" w:rsidRDefault="00306C66" w:rsidP="00EE7667">
            <w:pPr>
              <w:spacing w:beforeLines="40" w:afterLines="40"/>
              <w:rPr>
                <w:rFonts w:cs="Arial"/>
                <w:lang w:val="pl-PL"/>
              </w:rPr>
            </w:pPr>
            <w:r w:rsidRPr="00693EF8">
              <w:rPr>
                <w:rFonts w:cs="Arial"/>
                <w:lang w:val="pl-PL"/>
              </w:rPr>
              <w:t>Projekty generujące dochód zgodnie z art. 61 Rozporządzenia Ogólnego można dalej podzielić na:</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 xml:space="preserve">Projekty, dla których istnieje możliwość obiektywnego określenia przychodu z wyprzedzeniem </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 xml:space="preserve">Projekty, dla których nie można obiektywnie określić przychodu z wyprzedzeniem </w:t>
            </w:r>
          </w:p>
          <w:p w:rsidR="00306C66" w:rsidRPr="00693EF8" w:rsidRDefault="00306C66" w:rsidP="00EE7667">
            <w:pPr>
              <w:pStyle w:val="Nadpis6"/>
              <w:rPr>
                <w:szCs w:val="22"/>
                <w:lang w:val="pl-PL"/>
              </w:rPr>
            </w:pPr>
            <w:r w:rsidRPr="00693EF8">
              <w:rPr>
                <w:szCs w:val="22"/>
                <w:lang w:val="pl-PL"/>
              </w:rPr>
              <w:t xml:space="preserve">1.2Projekty, dla których istnieje możliwość obiektywnego określenia przychodu z wyprzedzeniem </w:t>
            </w:r>
          </w:p>
          <w:p w:rsidR="00306C66" w:rsidRPr="00693EF8" w:rsidRDefault="00306C66" w:rsidP="00EE7667">
            <w:pPr>
              <w:spacing w:beforeLines="40" w:afterLines="40"/>
              <w:rPr>
                <w:rFonts w:cs="Arial"/>
                <w:lang w:val="pl-PL"/>
              </w:rPr>
            </w:pPr>
            <w:r w:rsidRPr="00693EF8">
              <w:rPr>
                <w:rFonts w:cs="Arial"/>
                <w:lang w:val="pl-PL"/>
              </w:rPr>
              <w:t xml:space="preserve">Dla projektów tego typu należy przeprowadzić </w:t>
            </w:r>
            <w:r w:rsidRPr="00693EF8">
              <w:rPr>
                <w:rFonts w:cs="Arial"/>
                <w:b/>
                <w:lang w:val="pl-PL"/>
              </w:rPr>
              <w:t>tzw. analizę finansową</w:t>
            </w:r>
            <w:r w:rsidRPr="00693EF8">
              <w:rPr>
                <w:rFonts w:cs="Arial"/>
                <w:lang w:val="pl-PL"/>
              </w:rPr>
              <w:t xml:space="preserve">. Przychody są analizowane na poziomie poszczególnych partnerów projektu, ponieważ może się zdarzyć, że działania któregoś z partnerów projektu w ogóle nie prowadzą do osiągnięcia przychodów w projekcie, natomiast działania innego partnera będą generowały przychód. </w:t>
            </w:r>
          </w:p>
          <w:p w:rsidR="00306C66" w:rsidRPr="00693EF8" w:rsidRDefault="00306C66" w:rsidP="00EE7667">
            <w:pPr>
              <w:spacing w:beforeLines="40" w:afterLines="40"/>
              <w:rPr>
                <w:rFonts w:cs="Arial"/>
                <w:lang w:val="pl-PL"/>
              </w:rPr>
            </w:pPr>
            <w:r w:rsidRPr="00693EF8">
              <w:rPr>
                <w:rFonts w:cs="Arial"/>
                <w:lang w:val="pl-PL"/>
              </w:rPr>
              <w:t xml:space="preserve">Zwykle tę analizę przeprowadza się z punktu widzenia właściciela infrastruktury. Jeśli jednak jej właścicielami i operatorami są różne podmioty, musi zostać przeprowadzona skonsolidowana analiza finansowa. Konsolidację należy przeprowadzić dla tych podmiotów, które rzeczywiście realizują produkt projektu i u których koszty lub przychody przekroczą 5% całkowitego budżetu lub całkowitych przychodów projektu (tzn. przychody operatora w związku z projektem przekroczą 5% całkowitych przychodów projektu lub całkowite wydatki operatora  w związku z projektem przekroczą 5% całkowitych wydatków projektu). </w:t>
            </w:r>
          </w:p>
          <w:p w:rsidR="00306C66" w:rsidRPr="00693EF8" w:rsidRDefault="00306C66" w:rsidP="00EE7667">
            <w:pPr>
              <w:spacing w:beforeLines="40" w:afterLines="40"/>
              <w:rPr>
                <w:rFonts w:cs="Arial"/>
                <w:lang w:val="pl-PL"/>
              </w:rPr>
            </w:pPr>
            <w:r w:rsidRPr="00693EF8">
              <w:rPr>
                <w:rFonts w:cs="Arial"/>
                <w:lang w:val="pl-PL"/>
              </w:rPr>
              <w:t xml:space="preserve">Analiza finansowa jest prowadzona metodą zdyskontowanych przepływów pieniężnych, przy czym </w:t>
            </w:r>
            <w:r w:rsidRPr="00693EF8">
              <w:rPr>
                <w:rFonts w:cs="Arial"/>
                <w:lang w:val="pl-PL"/>
              </w:rPr>
              <w:lastRenderedPageBreak/>
              <w:t xml:space="preserve">obowiązuje zasada, że uwzględnia się tylko przepływy pieniężne, tzn. kwotę, jaka w ramach projektu zostanie faktycznie uzyskana lub wypłacona. Niepieniężne pozycje księgowe (np. odpisy amortyzacyjne) nie mogą być uwzględniane w analizie zdyskontowanych przepływów pieniężnych. Przy łączeniu przepływów pieniężnych, do jakich doszło w różnych latach, konieczne jest uwzględnienie wartości pieniądza w czasie. Przyszłe przepływy pieniężne są w tym celu dyskontowane na dany moment za pomocą współczynnika dyskontowego, który maleje wraz z upływem czasu, a jego wielkość jest określona poprzez wybór stopy dyskontowej. Komisja Europejska zaleca przyjęcie wartości realnej finansowej stopy dyskontowej na poziomie 4%, która będzie stosowana także do celów obliczenia luki w finansowaniu (luki finansowej) w projektach, w związku z czym także analiza musi być przeprowadzona w realnych (stałych) cenach, tzn. bez uwzględnienia inflacji. Przepływy pieniężne (gotówkowe) obliczamy na określoną liczbę lat. Chodzi o okres, w którym można sprawdzić, czy inwestycja była udana. Okres ten nazywamy </w:t>
            </w:r>
            <w:r w:rsidRPr="00693EF8">
              <w:rPr>
                <w:rFonts w:cs="Arial"/>
                <w:b/>
                <w:lang w:val="pl-PL"/>
              </w:rPr>
              <w:t>okresem odniesienia</w:t>
            </w:r>
            <w:r w:rsidRPr="00693EF8">
              <w:rPr>
                <w:rFonts w:cs="Arial"/>
                <w:lang w:val="pl-PL"/>
              </w:rPr>
              <w:t>, który różni się w zależności od sektora gospodarki i typu inwestycji. W poniższej tabeli przedstawiono niektóre okresy odniesienia dla poszczególnych sektorów, zdefiniowane przez Komisję Europejską. Jest to ostateczne określenie okresu odniesienia, od którego nie ma odstępstwa. W przypadku, gdy dla sektora nie określono okresu odniesienia, należy zastosować okres odniesienia „inne sektory”, tzn. 10-15 lat.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6"/>
              <w:gridCol w:w="3150"/>
            </w:tblGrid>
            <w:tr w:rsidR="00306C66" w:rsidRPr="00693EF8" w:rsidTr="00EE7667">
              <w:trPr>
                <w:trHeight w:val="103"/>
              </w:trPr>
              <w:tc>
                <w:tcPr>
                  <w:tcW w:w="3696" w:type="dxa"/>
                  <w:shd w:val="clear" w:color="auto" w:fill="8DB3E2"/>
                </w:tcPr>
                <w:p w:rsidR="00306C66" w:rsidRPr="00693EF8" w:rsidRDefault="00306C66" w:rsidP="00EE7667">
                  <w:pPr>
                    <w:rPr>
                      <w:b/>
                    </w:rPr>
                  </w:pPr>
                  <w:r w:rsidRPr="00693EF8">
                    <w:rPr>
                      <w:b/>
                    </w:rPr>
                    <w:t>Sektor</w:t>
                  </w:r>
                </w:p>
              </w:tc>
              <w:tc>
                <w:tcPr>
                  <w:tcW w:w="3150" w:type="dxa"/>
                  <w:shd w:val="clear" w:color="auto" w:fill="8DB3E2"/>
                </w:tcPr>
                <w:p w:rsidR="00306C66" w:rsidRPr="00693EF8" w:rsidRDefault="00306C66" w:rsidP="00EE7667">
                  <w:pPr>
                    <w:jc w:val="center"/>
                    <w:rPr>
                      <w:b/>
                    </w:rPr>
                  </w:pPr>
                  <w:r w:rsidRPr="00693EF8">
                    <w:rPr>
                      <w:b/>
                    </w:rPr>
                    <w:t>Okres odniesienia</w:t>
                  </w:r>
                </w:p>
              </w:tc>
            </w:tr>
            <w:tr w:rsidR="00306C66" w:rsidRPr="00693EF8" w:rsidTr="00EE7667">
              <w:trPr>
                <w:trHeight w:val="104"/>
              </w:trPr>
              <w:tc>
                <w:tcPr>
                  <w:tcW w:w="3696" w:type="dxa"/>
                </w:tcPr>
                <w:p w:rsidR="00306C66" w:rsidRPr="00693EF8" w:rsidRDefault="00306C66" w:rsidP="00EE7667">
                  <w:pPr>
                    <w:rPr>
                      <w:b/>
                    </w:rPr>
                  </w:pPr>
                  <w:r w:rsidRPr="00693EF8">
                    <w:rPr>
                      <w:b/>
                    </w:rPr>
                    <w:t xml:space="preserve">Drogi </w:t>
                  </w:r>
                </w:p>
              </w:tc>
              <w:tc>
                <w:tcPr>
                  <w:tcW w:w="3150" w:type="dxa"/>
                </w:tcPr>
                <w:p w:rsidR="00306C66" w:rsidRPr="00693EF8" w:rsidRDefault="00306C66" w:rsidP="00EE7667">
                  <w:pPr>
                    <w:jc w:val="center"/>
                  </w:pPr>
                  <w:r w:rsidRPr="00693EF8">
                    <w:t>25-30</w:t>
                  </w:r>
                </w:p>
              </w:tc>
            </w:tr>
            <w:tr w:rsidR="00306C66" w:rsidRPr="00693EF8" w:rsidTr="00EE7667">
              <w:trPr>
                <w:trHeight w:val="104"/>
              </w:trPr>
              <w:tc>
                <w:tcPr>
                  <w:tcW w:w="3696" w:type="dxa"/>
                </w:tcPr>
                <w:p w:rsidR="00306C66" w:rsidRPr="00693EF8" w:rsidRDefault="00306C66" w:rsidP="00EE7667">
                  <w:pPr>
                    <w:rPr>
                      <w:b/>
                    </w:rPr>
                  </w:pPr>
                  <w:r w:rsidRPr="00693EF8">
                    <w:rPr>
                      <w:b/>
                    </w:rPr>
                    <w:t xml:space="preserve">Gospodarka odpadami </w:t>
                  </w:r>
                </w:p>
              </w:tc>
              <w:tc>
                <w:tcPr>
                  <w:tcW w:w="3150" w:type="dxa"/>
                </w:tcPr>
                <w:p w:rsidR="00306C66" w:rsidRPr="00693EF8" w:rsidRDefault="00306C66" w:rsidP="00EE7667">
                  <w:pPr>
                    <w:jc w:val="center"/>
                  </w:pPr>
                  <w:r w:rsidRPr="00693EF8">
                    <w:t>25-30</w:t>
                  </w:r>
                </w:p>
              </w:tc>
            </w:tr>
            <w:tr w:rsidR="00306C66" w:rsidRPr="00693EF8" w:rsidTr="00EE7667">
              <w:trPr>
                <w:trHeight w:val="104"/>
              </w:trPr>
              <w:tc>
                <w:tcPr>
                  <w:tcW w:w="3696" w:type="dxa"/>
                </w:tcPr>
                <w:p w:rsidR="00306C66" w:rsidRPr="00693EF8" w:rsidRDefault="00306C66" w:rsidP="00EE7667">
                  <w:pPr>
                    <w:rPr>
                      <w:b/>
                    </w:rPr>
                  </w:pPr>
                  <w:r w:rsidRPr="00693EF8">
                    <w:rPr>
                      <w:b/>
                    </w:rPr>
                    <w:t xml:space="preserve">Badania i innowacje </w:t>
                  </w:r>
                </w:p>
              </w:tc>
              <w:tc>
                <w:tcPr>
                  <w:tcW w:w="3150" w:type="dxa"/>
                </w:tcPr>
                <w:p w:rsidR="00306C66" w:rsidRPr="00693EF8" w:rsidRDefault="00306C66" w:rsidP="00EE7667">
                  <w:pPr>
                    <w:jc w:val="center"/>
                  </w:pPr>
                  <w:r w:rsidRPr="00693EF8">
                    <w:t>15-25</w:t>
                  </w:r>
                </w:p>
              </w:tc>
            </w:tr>
            <w:tr w:rsidR="00306C66" w:rsidRPr="00693EF8" w:rsidTr="00EE7667">
              <w:trPr>
                <w:trHeight w:val="104"/>
              </w:trPr>
              <w:tc>
                <w:tcPr>
                  <w:tcW w:w="3696" w:type="dxa"/>
                </w:tcPr>
                <w:p w:rsidR="00306C66" w:rsidRPr="00693EF8" w:rsidRDefault="00306C66" w:rsidP="00EE7667">
                  <w:pPr>
                    <w:rPr>
                      <w:b/>
                    </w:rPr>
                  </w:pPr>
                  <w:r w:rsidRPr="00693EF8">
                    <w:rPr>
                      <w:b/>
                    </w:rPr>
                    <w:t xml:space="preserve">Infrastruktura biznesowa </w:t>
                  </w:r>
                </w:p>
              </w:tc>
              <w:tc>
                <w:tcPr>
                  <w:tcW w:w="3150" w:type="dxa"/>
                </w:tcPr>
                <w:p w:rsidR="00306C66" w:rsidRPr="00693EF8" w:rsidRDefault="00306C66" w:rsidP="00EE7667">
                  <w:pPr>
                    <w:jc w:val="center"/>
                  </w:pPr>
                  <w:r w:rsidRPr="00693EF8">
                    <w:t>10-15</w:t>
                  </w:r>
                </w:p>
              </w:tc>
            </w:tr>
            <w:tr w:rsidR="00306C66" w:rsidRPr="00693EF8" w:rsidTr="00EE7667">
              <w:trPr>
                <w:trHeight w:val="104"/>
              </w:trPr>
              <w:tc>
                <w:tcPr>
                  <w:tcW w:w="3696" w:type="dxa"/>
                </w:tcPr>
                <w:p w:rsidR="00306C66" w:rsidRPr="00693EF8" w:rsidRDefault="00306C66" w:rsidP="00EE7667">
                  <w:pPr>
                    <w:rPr>
                      <w:b/>
                    </w:rPr>
                  </w:pPr>
                  <w:r w:rsidRPr="00693EF8">
                    <w:rPr>
                      <w:b/>
                    </w:rPr>
                    <w:t>Energetyka</w:t>
                  </w:r>
                </w:p>
              </w:tc>
              <w:tc>
                <w:tcPr>
                  <w:tcW w:w="3150" w:type="dxa"/>
                </w:tcPr>
                <w:p w:rsidR="00306C66" w:rsidRPr="00693EF8" w:rsidRDefault="00306C66" w:rsidP="00EE7667">
                  <w:pPr>
                    <w:jc w:val="center"/>
                  </w:pPr>
                  <w:r w:rsidRPr="00693EF8">
                    <w:t>15-25</w:t>
                  </w:r>
                </w:p>
              </w:tc>
            </w:tr>
            <w:tr w:rsidR="00306C66" w:rsidRPr="00693EF8" w:rsidTr="00EE7667">
              <w:trPr>
                <w:trHeight w:val="104"/>
              </w:trPr>
              <w:tc>
                <w:tcPr>
                  <w:tcW w:w="3696" w:type="dxa"/>
                </w:tcPr>
                <w:p w:rsidR="00306C66" w:rsidRPr="00693EF8" w:rsidRDefault="00306C66" w:rsidP="00EE7667">
                  <w:pPr>
                    <w:rPr>
                      <w:b/>
                    </w:rPr>
                  </w:pPr>
                  <w:r w:rsidRPr="00693EF8">
                    <w:rPr>
                      <w:b/>
                    </w:rPr>
                    <w:t>Gospodarka wodno-ściekowa</w:t>
                  </w:r>
                </w:p>
              </w:tc>
              <w:tc>
                <w:tcPr>
                  <w:tcW w:w="3150" w:type="dxa"/>
                </w:tcPr>
                <w:p w:rsidR="00306C66" w:rsidRPr="00693EF8" w:rsidRDefault="00306C66" w:rsidP="00EE7667">
                  <w:pPr>
                    <w:jc w:val="center"/>
                  </w:pPr>
                  <w:r w:rsidRPr="00693EF8">
                    <w:t>30</w:t>
                  </w:r>
                </w:p>
              </w:tc>
            </w:tr>
            <w:tr w:rsidR="00306C66" w:rsidRPr="00693EF8" w:rsidTr="00EE7667">
              <w:trPr>
                <w:trHeight w:val="104"/>
              </w:trPr>
              <w:tc>
                <w:tcPr>
                  <w:tcW w:w="3696" w:type="dxa"/>
                </w:tcPr>
                <w:p w:rsidR="00306C66" w:rsidRPr="00693EF8" w:rsidRDefault="00306C66" w:rsidP="00EE7667">
                  <w:pPr>
                    <w:rPr>
                      <w:b/>
                    </w:rPr>
                  </w:pPr>
                  <w:r w:rsidRPr="00693EF8">
                    <w:rPr>
                      <w:b/>
                    </w:rPr>
                    <w:t xml:space="preserve">Komunikacja miejska </w:t>
                  </w:r>
                </w:p>
              </w:tc>
              <w:tc>
                <w:tcPr>
                  <w:tcW w:w="3150" w:type="dxa"/>
                </w:tcPr>
                <w:p w:rsidR="00306C66" w:rsidRPr="00693EF8" w:rsidRDefault="00306C66" w:rsidP="00EE7667">
                  <w:pPr>
                    <w:jc w:val="center"/>
                  </w:pPr>
                  <w:r w:rsidRPr="00693EF8">
                    <w:t>25-30</w:t>
                  </w:r>
                </w:p>
              </w:tc>
            </w:tr>
            <w:tr w:rsidR="00306C66" w:rsidRPr="00693EF8" w:rsidTr="00EE7667">
              <w:trPr>
                <w:trHeight w:val="104"/>
              </w:trPr>
              <w:tc>
                <w:tcPr>
                  <w:tcW w:w="3696" w:type="dxa"/>
                </w:tcPr>
                <w:p w:rsidR="00306C66" w:rsidRPr="00693EF8" w:rsidRDefault="00306C66" w:rsidP="00EE7667">
                  <w:pPr>
                    <w:rPr>
                      <w:b/>
                    </w:rPr>
                  </w:pPr>
                  <w:r w:rsidRPr="00693EF8">
                    <w:rPr>
                      <w:b/>
                    </w:rPr>
                    <w:t xml:space="preserve">Inne sektory </w:t>
                  </w:r>
                </w:p>
              </w:tc>
              <w:tc>
                <w:tcPr>
                  <w:tcW w:w="3150" w:type="dxa"/>
                </w:tcPr>
                <w:p w:rsidR="00306C66" w:rsidRPr="00693EF8" w:rsidRDefault="00306C66" w:rsidP="00EE7667">
                  <w:pPr>
                    <w:jc w:val="center"/>
                  </w:pPr>
                  <w:r w:rsidRPr="00693EF8">
                    <w:t>10-15</w:t>
                  </w:r>
                </w:p>
              </w:tc>
            </w:tr>
          </w:tbl>
          <w:p w:rsidR="00306C66" w:rsidRPr="00693EF8" w:rsidRDefault="00306C66" w:rsidP="00EE7667">
            <w:pPr>
              <w:spacing w:beforeLines="40" w:afterLines="40"/>
              <w:rPr>
                <w:rFonts w:cs="Arial"/>
                <w:lang w:val="pl-PL"/>
              </w:rPr>
            </w:pPr>
            <w:r w:rsidRPr="00693EF8">
              <w:rPr>
                <w:rFonts w:cs="Arial"/>
                <w:lang w:val="pl-PL"/>
              </w:rPr>
              <w:t xml:space="preserve">W przypadku, gdy niektóre aktywa projektu mają dłuższy okres użytkowania niż wynosi okres odniesienia dla projektu, ważne jest uwzględnienie ich </w:t>
            </w:r>
            <w:r w:rsidRPr="00693EF8">
              <w:rPr>
                <w:rFonts w:cs="Arial"/>
                <w:b/>
                <w:lang w:val="pl-PL"/>
              </w:rPr>
              <w:t>wartości rezydualnej</w:t>
            </w:r>
            <w:r w:rsidRPr="00693EF8">
              <w:rPr>
                <w:rFonts w:cs="Arial"/>
                <w:lang w:val="pl-PL"/>
              </w:rPr>
              <w:t>.Jest ona obliczana jako aktualna wartość dochodów pochodzących z inwestycji w pozostałym okresie użytkowania i musi być uwzględniona w przepływach pieniężnych jako przychód ostatniego roku okresu odniesienia. Mimo że wartość rezydualną zalicza się do przychodów projektu, nie może być czynnikiem decydującym, czy projekt generuje dochód czy nie, zgodnie z art. 61 Rozporządzenia Ogólnego. Czyli</w:t>
            </w:r>
            <w:r w:rsidRPr="00693EF8">
              <w:rPr>
                <w:rFonts w:cs="Arial"/>
                <w:b/>
                <w:lang w:val="pl-PL"/>
              </w:rPr>
              <w:t xml:space="preserve"> jeśli przychody projektu bez wartości rezydualnej nie przekraczają wydatków operacyjnych</w:t>
            </w:r>
            <w:r w:rsidR="0014606B" w:rsidRPr="00693EF8">
              <w:rPr>
                <w:rFonts w:cs="Arial"/>
                <w:b/>
                <w:lang w:val="pl-PL"/>
              </w:rPr>
              <w:t xml:space="preserve"> </w:t>
            </w:r>
            <w:r w:rsidRPr="00693EF8">
              <w:rPr>
                <w:rFonts w:cs="Arial"/>
                <w:b/>
                <w:lang w:val="pl-PL"/>
              </w:rPr>
              <w:footnoteReference w:id="5"/>
            </w:r>
            <w:r w:rsidRPr="00693EF8">
              <w:rPr>
                <w:rFonts w:cs="Arial"/>
                <w:b/>
                <w:lang w:val="pl-PL"/>
              </w:rPr>
              <w:t xml:space="preserve"> projektu, nie jest to projekt generujący dochód zgodnie z art. 61.</w:t>
            </w:r>
          </w:p>
          <w:p w:rsidR="00306C66" w:rsidRPr="00693EF8" w:rsidRDefault="00306C66" w:rsidP="00EE7667">
            <w:pPr>
              <w:spacing w:beforeLines="40" w:afterLines="40"/>
              <w:rPr>
                <w:rFonts w:cs="Arial"/>
                <w:u w:val="single"/>
                <w:lang w:val="pl-PL"/>
              </w:rPr>
            </w:pPr>
            <w:r w:rsidRPr="00693EF8">
              <w:rPr>
                <w:rFonts w:cs="Arial"/>
                <w:u w:val="single"/>
                <w:lang w:val="pl-PL"/>
              </w:rPr>
              <w:t>Obliczenie luki w finansowaniu i określenie wysokości dofinansowania</w:t>
            </w:r>
          </w:p>
          <w:p w:rsidR="00306C66" w:rsidRPr="00693EF8" w:rsidRDefault="00306C66" w:rsidP="00EE7667">
            <w:pPr>
              <w:spacing w:beforeLines="40" w:afterLines="40"/>
              <w:rPr>
                <w:rFonts w:cs="Arial"/>
                <w:lang w:val="pl-PL"/>
              </w:rPr>
            </w:pPr>
            <w:r w:rsidRPr="00693EF8">
              <w:rPr>
                <w:rFonts w:cs="Arial"/>
                <w:lang w:val="pl-PL"/>
              </w:rPr>
              <w:lastRenderedPageBreak/>
              <w:t>Jeśli umożliwia to charakter projektu, przy obliczaniu wysokości dofinansowania za pośrednictwem luki w finansowaniu stosuje się metodę z różnicowym wariantem przychodów, wydatków operacyjnych i wartości rezydualnej (tzw. metoda przyrostowa). Analizuje się różnicę między scenariuszem „z projektem” (wariant inwestycyjny) a alternatywnym scenariuszem „bez projektu” (wariant zerowy). Decydujące są tylko przychody i wydatki, które w przypadku wariantu zerowego nie byłyby realizowane (tzn. zostały wygenerowane przez projekt).</w:t>
            </w:r>
          </w:p>
          <w:p w:rsidR="00306C66" w:rsidRPr="00693EF8" w:rsidRDefault="00306C66" w:rsidP="00EE7667">
            <w:pPr>
              <w:spacing w:beforeLines="40" w:afterLines="40"/>
              <w:rPr>
                <w:rFonts w:cs="Arial"/>
                <w:lang w:val="pl-PL"/>
              </w:rPr>
            </w:pPr>
            <w:r w:rsidRPr="00693EF8">
              <w:rPr>
                <w:rFonts w:cs="Arial"/>
                <w:lang w:val="pl-PL"/>
              </w:rPr>
              <w:t xml:space="preserve">Wpływy są obliczone na podstawie różnicy między inwestycyjnym i zerowym wariantem projektu. </w:t>
            </w:r>
          </w:p>
          <w:p w:rsidR="00306C66" w:rsidRPr="00693EF8" w:rsidRDefault="00306C66" w:rsidP="00EE7667">
            <w:pPr>
              <w:spacing w:beforeLines="40" w:afterLines="40"/>
              <w:rPr>
                <w:rFonts w:cs="Arial"/>
                <w:lang w:val="pl-PL"/>
              </w:rPr>
            </w:pPr>
            <w:r w:rsidRPr="00693EF8">
              <w:rPr>
                <w:rFonts w:cs="Arial"/>
                <w:lang w:val="pl-PL"/>
              </w:rPr>
              <w:t xml:space="preserve">Wszelkie wpływy u partnerów projektu niebędących płatnikami VAT są uwzględniane łącznie z VAT, a u płatników VAT (jeśli mają prawo do odliczenia) bez VAT. Ich wysokość musi być zgodna z wartościami zawartymi we wniosku projektowym. </w:t>
            </w:r>
          </w:p>
          <w:p w:rsidR="00306C66" w:rsidRPr="00693EF8" w:rsidRDefault="00306C66" w:rsidP="00EE7667">
            <w:pPr>
              <w:spacing w:beforeLines="40" w:afterLines="40"/>
              <w:rPr>
                <w:rFonts w:cs="Arial"/>
                <w:lang w:val="pl-PL"/>
              </w:rPr>
            </w:pPr>
            <w:r w:rsidRPr="00693EF8">
              <w:rPr>
                <w:rFonts w:cs="Arial"/>
                <w:lang w:val="pl-PL"/>
              </w:rPr>
              <w:t>Dla uproszczenia przy obliczaniu luki finansowej nie są uwzględniane podatki (oprócz podatku VAT w niektórych przypadkach – patrz akapit powyżej). Dotyczy to wszystkich projektów, których dotyczy obliczenie luki w finansowaniu.</w:t>
            </w:r>
          </w:p>
          <w:p w:rsidR="00306C66" w:rsidRPr="00693EF8" w:rsidRDefault="00306C66" w:rsidP="00EE7667">
            <w:pPr>
              <w:spacing w:beforeLines="40" w:afterLines="40"/>
              <w:rPr>
                <w:rFonts w:cs="Arial"/>
                <w:lang w:val="pl-PL"/>
              </w:rPr>
            </w:pPr>
            <w:r w:rsidRPr="00693EF8">
              <w:rPr>
                <w:rFonts w:cs="Arial"/>
                <w:lang w:val="pl-PL"/>
              </w:rPr>
              <w:t>W celu obliczenia luki w finansowaniu i określenia wysokości dofinansowania właściwy partner projektu, którego części projektu przychody dotyczą, wypełnia jako załącznik wniosku projektowego tabelę uwzględniającą metodę luki finansowej – patrz załącznik nr 25 Podręcznika Wnioskodawcy. Załącznik ten należy wgrać do ISKP (element MS2014+ - System Informatyczny beneficjenta). Do tabeli dołączono także wyjaśnienie – patrz załączniki nr 25 Podręcznika Wnioskodawcy. Do tabeli dołączono wyjaśnienie – patrz zał. nr 25 PW.</w:t>
            </w:r>
          </w:p>
          <w:p w:rsidR="00306C66" w:rsidRPr="00693EF8" w:rsidRDefault="00306C66" w:rsidP="00EE7667">
            <w:pPr>
              <w:spacing w:beforeLines="40" w:afterLines="40"/>
              <w:rPr>
                <w:rFonts w:cs="Arial"/>
                <w:lang w:val="pl-PL"/>
              </w:rPr>
            </w:pPr>
            <w:r w:rsidRPr="00693EF8">
              <w:rPr>
                <w:rFonts w:cs="Arial"/>
                <w:lang w:val="pl-PL"/>
              </w:rPr>
              <w:t xml:space="preserve">Na podstawie podanych dla każdego partnera projektu wielkości (łącznie z dochodami przewidywanymi we wniosku projektowym i w tabeli do obliczania luki finansowej) jest obliczana wysokość dofinansowania, która po zatwierdzeniu projektu zostaje również określona w Umowie o dofinansowaniu projektu lub w Decyzji w sprawie udzielenia dofinansowania. </w:t>
            </w:r>
          </w:p>
          <w:p w:rsidR="00306C66" w:rsidRPr="00693EF8" w:rsidRDefault="00306C66" w:rsidP="00EE7667">
            <w:pPr>
              <w:spacing w:beforeLines="40" w:afterLines="40"/>
              <w:rPr>
                <w:rFonts w:cs="Arial"/>
                <w:lang w:val="pl-PL"/>
              </w:rPr>
            </w:pPr>
            <w:r w:rsidRPr="00693EF8">
              <w:rPr>
                <w:rFonts w:cs="Arial"/>
                <w:lang w:val="pl-PL"/>
              </w:rPr>
              <w:t>Proces monitorowania dochodów w okresie realizacji projektu i w okresie po realizacji projektu jest opisany w Podręczniku Beneficjenta Dofinansowania.</w:t>
            </w:r>
          </w:p>
          <w:p w:rsidR="00306C66" w:rsidRPr="00693EF8" w:rsidRDefault="00306C66" w:rsidP="00EE7667">
            <w:pPr>
              <w:pStyle w:val="Nadpis6"/>
              <w:rPr>
                <w:szCs w:val="22"/>
                <w:lang w:val="pl-PL"/>
              </w:rPr>
            </w:pPr>
            <w:r w:rsidRPr="00693EF8">
              <w:rPr>
                <w:szCs w:val="22"/>
                <w:lang w:val="pl-PL"/>
              </w:rPr>
              <w:t>1.3 Projekty, dla których nie można obiektywnie określić przychodu z wyprzedzeniem</w:t>
            </w:r>
          </w:p>
          <w:p w:rsidR="00306C66" w:rsidRPr="00693EF8" w:rsidRDefault="00306C66" w:rsidP="00EE7667">
            <w:pPr>
              <w:spacing w:beforeLines="40" w:afterLines="40"/>
              <w:rPr>
                <w:rFonts w:cs="Arial"/>
                <w:lang w:val="pl-PL"/>
              </w:rPr>
            </w:pPr>
            <w:r w:rsidRPr="00693EF8">
              <w:rPr>
                <w:rFonts w:cs="Arial"/>
                <w:lang w:val="pl-PL"/>
              </w:rPr>
              <w:t>Brak możliwości wcześniejszego określenia przychodów w projekcie może wystąpić zwłaszcza w przypadku projektów ukierunkowanych na badania, rozwój technologiczny i innowacje, gdy popyt zależy od podaży (tzn. realizowanego projektu) i nie można jego wysokości oszacować z wyprzedzeniem. Z powodu braku danych i wcześniejszych doświadczeń wszelkie szacunki są dużym stopniu subiektywne. W tym przypadku każdy z partnerów projektu, przygotowując wniosek projektowy, nie sporządza żadnej kalkulacji dochodów. Uwzględniane są dopiero rzeczywiste dochody, obliczane w sposób podany w Podręczniku Beneficjenta Dofinansowania.</w:t>
            </w:r>
          </w:p>
          <w:p w:rsidR="00306C66" w:rsidRPr="00693EF8" w:rsidRDefault="00306C66" w:rsidP="00EE7667">
            <w:pPr>
              <w:pStyle w:val="Nadpis5"/>
            </w:pPr>
            <w:r w:rsidRPr="00693EF8">
              <w:t>2. Projekty generujące tzw. „Inne dochody”</w:t>
            </w:r>
          </w:p>
          <w:p w:rsidR="00306C66" w:rsidRPr="00693EF8" w:rsidRDefault="00306C66" w:rsidP="00EE7667">
            <w:pPr>
              <w:spacing w:beforeLines="40" w:afterLines="40"/>
              <w:rPr>
                <w:rFonts w:cs="Arial"/>
                <w:lang w:val="pl-PL"/>
              </w:rPr>
            </w:pPr>
            <w:r w:rsidRPr="00693EF8">
              <w:rPr>
                <w:rFonts w:cs="Arial"/>
                <w:lang w:val="pl-PL"/>
              </w:rPr>
              <w:t>Inne dochody to wszystkie dochody generowane przez projekt w czasie realizacji, do których nie ma zastosowania art. 61 Rozporządzenia Ogólnego, a tym samym nie ma zastosowania poprzedni rozdział. Dochody te obejmują przykładowo także w ramach projektu dotyczącego budowy nowej drogi dochody ze sprzedaży wyciętych drzew, w przypadku projektu dotyczącego remontu zabytku kultury dochody ze sprzedaży starych okien.</w:t>
            </w:r>
          </w:p>
          <w:p w:rsidR="00306C66" w:rsidRPr="00693EF8" w:rsidRDefault="00306C66" w:rsidP="00EE7667">
            <w:pPr>
              <w:spacing w:beforeLines="40" w:afterLines="40"/>
              <w:rPr>
                <w:rFonts w:cs="Arial"/>
                <w:lang w:val="pl-PL"/>
              </w:rPr>
            </w:pPr>
            <w:r w:rsidRPr="00693EF8">
              <w:rPr>
                <w:rFonts w:cs="Arial"/>
                <w:lang w:val="pl-PL"/>
              </w:rPr>
              <w:t>Pod względem postępowania z innymi dochodami projekty można dzielić na:</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t xml:space="preserve">projekty o wartości do </w:t>
            </w:r>
            <w:r w:rsidR="00F046B8" w:rsidRPr="00693EF8">
              <w:rPr>
                <w:rFonts w:cs="Arial"/>
                <w:lang w:val="pl-PL"/>
              </w:rPr>
              <w:t>10</w:t>
            </w:r>
            <w:r w:rsidRPr="00693EF8">
              <w:rPr>
                <w:rFonts w:cs="Arial"/>
                <w:lang w:val="pl-PL"/>
              </w:rPr>
              <w:t xml:space="preserve">0 000 euro </w:t>
            </w:r>
          </w:p>
          <w:p w:rsidR="00306C66" w:rsidRPr="00693EF8" w:rsidRDefault="00306C66" w:rsidP="00306C66">
            <w:pPr>
              <w:numPr>
                <w:ilvl w:val="0"/>
                <w:numId w:val="5"/>
              </w:numPr>
              <w:spacing w:before="0" w:after="0"/>
              <w:ind w:left="714" w:hanging="357"/>
              <w:rPr>
                <w:rFonts w:cs="Arial"/>
                <w:lang w:val="pl-PL"/>
              </w:rPr>
            </w:pPr>
            <w:r w:rsidRPr="00693EF8">
              <w:rPr>
                <w:rFonts w:cs="Arial"/>
                <w:lang w:val="pl-PL"/>
              </w:rPr>
              <w:lastRenderedPageBreak/>
              <w:t xml:space="preserve">projekty o wartości powyżej </w:t>
            </w:r>
            <w:r w:rsidR="00F046B8" w:rsidRPr="00693EF8">
              <w:rPr>
                <w:rFonts w:cs="Arial"/>
                <w:lang w:val="pl-PL"/>
              </w:rPr>
              <w:t>10</w:t>
            </w:r>
            <w:r w:rsidRPr="00693EF8">
              <w:rPr>
                <w:rFonts w:cs="Arial"/>
                <w:lang w:val="pl-PL"/>
              </w:rPr>
              <w:t>0 000 euro</w:t>
            </w:r>
          </w:p>
          <w:p w:rsidR="00306C66" w:rsidRPr="00693EF8" w:rsidRDefault="00306C66" w:rsidP="00EE7667">
            <w:pPr>
              <w:shd w:val="clear" w:color="auto" w:fill="CCC0D9"/>
              <w:spacing w:beforeLines="40" w:afterLines="40"/>
              <w:rPr>
                <w:rFonts w:cs="Arial"/>
                <w:lang w:val="pl-PL"/>
              </w:rPr>
            </w:pPr>
            <w:r w:rsidRPr="00693EF8">
              <w:rPr>
                <w:rFonts w:cs="Arial"/>
                <w:b/>
                <w:lang w:val="pl-PL"/>
              </w:rPr>
              <w:t>Uwaga:</w:t>
            </w:r>
            <w:r w:rsidRPr="00693EF8">
              <w:rPr>
                <w:rFonts w:cs="Arial"/>
                <w:lang w:val="pl-PL"/>
              </w:rPr>
              <w:t xml:space="preserve"> W projektach generujących dochód po zakończeniu realizacji, w których całkowite wydatki kwalifikowalne nie przekraczają 1 mln euro, dochody po zakończeniu realizacji projektu nie będą monitorowane.</w:t>
            </w:r>
          </w:p>
          <w:p w:rsidR="00306C66" w:rsidRPr="00693EF8" w:rsidRDefault="00306C66" w:rsidP="00EE7667">
            <w:pPr>
              <w:autoSpaceDE w:val="0"/>
              <w:autoSpaceDN w:val="0"/>
              <w:adjustRightInd w:val="0"/>
            </w:pPr>
            <w:r w:rsidRPr="00693EF8">
              <w:t>Dochód wygenerowany w trakcie realizacji projektu to przychody pomniejszone o koszty związane z ich uzyskaniem, pod warunkiem, że koszty nie stanowią wydatków kwalifikowalnych projektu.</w:t>
            </w:r>
          </w:p>
          <w:p w:rsidR="00306C66" w:rsidRPr="00693EF8" w:rsidRDefault="00306C66" w:rsidP="00EE7667">
            <w:pPr>
              <w:pStyle w:val="Nadpis6"/>
              <w:rPr>
                <w:szCs w:val="22"/>
                <w:lang w:val="pl-PL"/>
              </w:rPr>
            </w:pPr>
            <w:r w:rsidRPr="00693EF8">
              <w:rPr>
                <w:szCs w:val="22"/>
                <w:lang w:val="pl-PL"/>
              </w:rPr>
              <w:t xml:space="preserve">a) Projekty do </w:t>
            </w:r>
            <w:r w:rsidR="00F046B8" w:rsidRPr="00693EF8">
              <w:rPr>
                <w:szCs w:val="22"/>
                <w:lang w:val="pl-PL"/>
              </w:rPr>
              <w:t>10</w:t>
            </w:r>
            <w:r w:rsidRPr="00693EF8">
              <w:rPr>
                <w:szCs w:val="22"/>
                <w:lang w:val="pl-PL"/>
              </w:rPr>
              <w:t>0 000 euro</w:t>
            </w:r>
          </w:p>
          <w:p w:rsidR="00306C66" w:rsidRPr="00693EF8" w:rsidRDefault="00306C66" w:rsidP="00EE7667">
            <w:pPr>
              <w:autoSpaceDE w:val="0"/>
              <w:autoSpaceDN w:val="0"/>
              <w:adjustRightInd w:val="0"/>
            </w:pPr>
            <w:r w:rsidRPr="00693EF8">
              <w:t xml:space="preserve">W ramach projektów, w których całkowite wydatki kwalifikowalne nie przekraczają kwoty </w:t>
            </w:r>
            <w:r w:rsidR="00F046B8" w:rsidRPr="00693EF8">
              <w:t>10</w:t>
            </w:r>
            <w:r w:rsidRPr="00693EF8">
              <w:t>0 000 euro, z uwzględnieniem przeważnie nieinwestycyjnego charakteru tych projektów, są monitorowane tylko dochody, które powstają w trakcie realizacji projektu.</w:t>
            </w:r>
          </w:p>
          <w:p w:rsidR="00306C66" w:rsidRPr="00693EF8" w:rsidRDefault="00306C66" w:rsidP="00EE7667">
            <w:pPr>
              <w:autoSpaceDE w:val="0"/>
              <w:autoSpaceDN w:val="0"/>
              <w:adjustRightInd w:val="0"/>
            </w:pPr>
            <w:r w:rsidRPr="00693EF8">
              <w:t>Wszelkie dochody, które powstaną w trakcie realizacji projektu, mogą być wykorzystane przez każdego z partnerów projektu jako źródło współfinansowania projektu zamiast środków własnych</w:t>
            </w:r>
            <w:r w:rsidR="0040174F" w:rsidRPr="00693EF8">
              <w:rPr>
                <w:rStyle w:val="Znakapoznpodarou"/>
              </w:rPr>
              <w:footnoteReference w:id="6"/>
            </w:r>
            <w:r w:rsidR="0014606B" w:rsidRPr="00693EF8">
              <w:t xml:space="preserve"> </w:t>
            </w:r>
            <w:r w:rsidRPr="00693EF8">
              <w:t>. W ten sposób do wysokości udziału wkładu własnego dochody nie mają wpływu na wysokość dofinansowania. W przypadku, gdy dochody przekroczą wkład własny, najpierw dochodzi do obniżenia dofinansowania z budżetu państwa (jeśli zostało udzielone), a następnie do obniżenia dofinansowania z EFRR, o kwotę, o jaką dochody przekroczyły udział własny dofinansowania. W ramach Funduszu Mikroprojektów dotyczy to zarówno mikroprojektów indywidualnych jak i wspólnych. Tak samo jak w przypadku indywidualnych projektów, także w przypadku Funduszu Mikroprojektów wnioskodawca sporządzi kalkulację przewidywanych dochodów już na etapie przygotowywani wniosku projektowego i tę kalkulację dołącza jako załącznik do wniosku projektowego. Po zakończeniu realizacji projektu udokumentuje wartość faktycznie osiągniętych dochodów. Jeśli dochody przekraczają wkład własny, dochodzi do obniżenia dofinansowania z budżetu państwa i z EFRR.</w:t>
            </w:r>
          </w:p>
          <w:p w:rsidR="00306C66" w:rsidRPr="00693EF8" w:rsidRDefault="00306C66" w:rsidP="00EE7667">
            <w:pPr>
              <w:pStyle w:val="Nadpis6"/>
              <w:rPr>
                <w:szCs w:val="22"/>
                <w:lang w:val="pl-PL"/>
              </w:rPr>
            </w:pPr>
            <w:r w:rsidRPr="00693EF8">
              <w:rPr>
                <w:szCs w:val="22"/>
                <w:lang w:val="pl-PL"/>
              </w:rPr>
              <w:t xml:space="preserve">b) Projekty powyżej </w:t>
            </w:r>
            <w:r w:rsidR="00F046B8" w:rsidRPr="00693EF8">
              <w:rPr>
                <w:szCs w:val="22"/>
                <w:lang w:val="pl-PL"/>
              </w:rPr>
              <w:t>10</w:t>
            </w:r>
            <w:r w:rsidRPr="00693EF8">
              <w:rPr>
                <w:szCs w:val="22"/>
                <w:lang w:val="pl-PL"/>
              </w:rPr>
              <w:t>0 000 euro</w:t>
            </w:r>
          </w:p>
          <w:p w:rsidR="00306C66" w:rsidRPr="00693EF8" w:rsidRDefault="00306C66" w:rsidP="00EE7667">
            <w:pPr>
              <w:autoSpaceDE w:val="0"/>
              <w:autoSpaceDN w:val="0"/>
              <w:adjustRightInd w:val="0"/>
            </w:pPr>
            <w:r w:rsidRPr="00693EF8">
              <w:t xml:space="preserve">Dla mikroprojektów i projektów, których całkowite koszty kwalifikowalne wynoszą więcej niż </w:t>
            </w:r>
            <w:r w:rsidR="00F046B8" w:rsidRPr="00693EF8">
              <w:t>10</w:t>
            </w:r>
            <w:r w:rsidRPr="00693EF8">
              <w:t xml:space="preserve">0 000 euro obowiązuje zasada, że wydatki kwalifikowalne zmniejsza się o dochód, który został wygenerowany bezpośrednio w trakcie realizacji projektu, najpóźniej do momentu, gdy beneficjent przedłoży końcowy wniosek o płatność. Jeśli do nie wszystkie wydatki są kwalifikowalne do dofinansowania, dochody dzieli się proporcjonalnie wg wysokości kwalifikowalnych i niekwalifikowalnych wydatków. </w:t>
            </w:r>
          </w:p>
          <w:p w:rsidR="0040174F" w:rsidRPr="00693EF8" w:rsidRDefault="0040174F" w:rsidP="00EE7667">
            <w:pPr>
              <w:pStyle w:val="Nadpis5"/>
            </w:pPr>
          </w:p>
          <w:p w:rsidR="00306C66" w:rsidRPr="00693EF8" w:rsidRDefault="00306C66" w:rsidP="00EE7667">
            <w:pPr>
              <w:pStyle w:val="Nadpis5"/>
            </w:pPr>
            <w:r w:rsidRPr="00693EF8">
              <w:t>3. Odstępstwa od stosowania zasad dotyczących projektów generujących dochód</w:t>
            </w:r>
          </w:p>
          <w:p w:rsidR="00306C66" w:rsidRPr="00693EF8" w:rsidRDefault="00306C66" w:rsidP="00EE7667">
            <w:pPr>
              <w:autoSpaceDE w:val="0"/>
              <w:autoSpaceDN w:val="0"/>
              <w:adjustRightInd w:val="0"/>
            </w:pPr>
            <w:r w:rsidRPr="00693EF8">
              <w:t xml:space="preserve">Za przychód projektu zgodnie z postanowieniami art. 65 ust. 8 Rozporządzenia Ogólnego, nie uważa się płatności otrzymanych przez partnera projektu z tytułu kar umownych na skutek naruszenia umowy zawartej między partnerem projektu a stroną/stronami trzecią/trzecimi, lub które </w:t>
            </w:r>
            <w:r w:rsidRPr="00693EF8">
              <w:lastRenderedPageBreak/>
              <w:t xml:space="preserve">miały miejsce w wyniku wycofania przez stronę trzecią oferty wybieranej w ramach przepisów o zamówieniach publicznych (wadium). </w:t>
            </w:r>
          </w:p>
          <w:p w:rsidR="00306C66" w:rsidRPr="00693EF8" w:rsidRDefault="00306C66" w:rsidP="00EE7667">
            <w:pPr>
              <w:autoSpaceDE w:val="0"/>
              <w:autoSpaceDN w:val="0"/>
              <w:adjustRightInd w:val="0"/>
            </w:pPr>
            <w:r w:rsidRPr="00693EF8">
              <w:t>Z przychodów są również wykluczone wszelkie transfery i dotacje z budżetu państwa, budżetów regionalnych i lokalnych czy wpłat z ubezpieczenia powszechnego, VAT i inne podatki pośrednie nakładane na konsumentów.</w:t>
            </w:r>
          </w:p>
          <w:p w:rsidR="00306C66" w:rsidRPr="00693EF8" w:rsidRDefault="00306C66" w:rsidP="00EE7667">
            <w:pPr>
              <w:autoSpaceDE w:val="0"/>
              <w:autoSpaceDN w:val="0"/>
              <w:adjustRightInd w:val="0"/>
            </w:pPr>
            <w:r w:rsidRPr="00693EF8">
              <w:t xml:space="preserve">Ponadto za projekt generujący dochód nie uważa się: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 xml:space="preserve">projektów niegenerujących przychodów (np. drogi bez możliwości pobierania opłat takich jak opłaty za korzystanie z autostrad, winiety itp.);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 xml:space="preserve">projektów niegenerujących dochodu (ich przychody nie wystarczą do pełnego pokrycia kosztów operacyjnych);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 xml:space="preserve">projektów podlegających trybowi pomocy publicznej; </w:t>
            </w:r>
          </w:p>
          <w:p w:rsidR="00306C66" w:rsidRPr="00693EF8" w:rsidRDefault="00306C66" w:rsidP="00306C66">
            <w:pPr>
              <w:pStyle w:val="Odstavecseseznamem"/>
              <w:numPr>
                <w:ilvl w:val="0"/>
                <w:numId w:val="4"/>
              </w:numPr>
              <w:spacing w:beforeLines="40" w:afterLines="40"/>
              <w:contextualSpacing w:val="0"/>
              <w:jc w:val="left"/>
              <w:rPr>
                <w:rFonts w:cs="Arial"/>
              </w:rPr>
            </w:pPr>
            <w:r w:rsidRPr="00693EF8">
              <w:rPr>
                <w:rFonts w:cs="Arial"/>
              </w:rPr>
              <w:t>projektów pomocy technicznej;</w:t>
            </w:r>
          </w:p>
          <w:p w:rsidR="00306C66" w:rsidRPr="00693EF8" w:rsidRDefault="00306C66" w:rsidP="00306C66">
            <w:pPr>
              <w:pStyle w:val="Odstavecseseznamem"/>
              <w:numPr>
                <w:ilvl w:val="0"/>
                <w:numId w:val="4"/>
              </w:numPr>
              <w:spacing w:beforeLines="40" w:afterLines="40"/>
              <w:contextualSpacing w:val="0"/>
              <w:jc w:val="left"/>
            </w:pPr>
            <w:r w:rsidRPr="00693EF8">
              <w:rPr>
                <w:rFonts w:cs="Arial"/>
              </w:rPr>
              <w:t>projektów, które nie generują dochodów w tzw. wariancie różnicowym, tzn. jeśli już istniejąca infrastruktura podlega opłacie i dochody z nią związane nie wzrosną po realizacji projektu (jakim była inwestycja w tę infrastrukturę).</w:t>
            </w:r>
          </w:p>
        </w:tc>
      </w:tr>
    </w:tbl>
    <w:p w:rsidR="00306C66" w:rsidRDefault="00306C66" w:rsidP="00306C66">
      <w:pPr>
        <w:spacing w:beforeLines="40" w:afterLines="40"/>
      </w:pPr>
    </w:p>
    <w:p w:rsidR="00FD2B52" w:rsidRPr="00306C66" w:rsidRDefault="00FD2B52" w:rsidP="00306C66"/>
    <w:sectPr w:rsidR="00FD2B52" w:rsidRPr="00306C66" w:rsidSect="00306C6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DC6" w:rsidRDefault="00C50DC6" w:rsidP="006240FC">
      <w:pPr>
        <w:spacing w:after="0"/>
      </w:pPr>
      <w:r>
        <w:separator/>
      </w:r>
    </w:p>
  </w:endnote>
  <w:endnote w:type="continuationSeparator" w:id="0">
    <w:p w:rsidR="00C50DC6" w:rsidRDefault="00C50DC6" w:rsidP="006240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F8" w:rsidRDefault="00693EF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52" w:rsidRDefault="00693EF8" w:rsidP="00693EF8">
    <w:pPr>
      <w:pStyle w:val="Zpat"/>
      <w:jc w:val="center"/>
    </w:pPr>
    <w:r w:rsidRPr="00EA2C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453.75pt;height:33pt;visibility:visible">
          <v:imagedata r:id="rId1" o:title=""/>
        </v:shape>
      </w:pict>
    </w:r>
    <w:r w:rsidR="00306C66">
      <w:rPr>
        <w:noProof/>
      </w:rPr>
      <w:pict>
        <v:shape id="Obrázek 1" o:spid="_x0000_s2050" type="#_x0000_t75" style="position:absolute;left:0;text-align:left;margin-left:126.4pt;margin-top:718.15pt;width:337pt;height:33.75pt;z-index:1;visibility:visible;mso-position-horizontal-relative:margin;mso-position-vertical-relative:margin">
          <v:imagedata r:id="rId2" o:title=""/>
          <w10:wrap type="square" anchorx="margin" anchory="margin"/>
        </v:shape>
      </w:pict>
    </w:r>
  </w:p>
  <w:p w:rsidR="00FD2B52" w:rsidRDefault="00306C66" w:rsidP="00306C66">
    <w:pPr>
      <w:pStyle w:val="Zpat"/>
      <w:tabs>
        <w:tab w:val="clear" w:pos="9072"/>
        <w:tab w:val="left" w:pos="4536"/>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F8" w:rsidRDefault="00693EF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DC6" w:rsidRDefault="00C50DC6" w:rsidP="006240FC">
      <w:pPr>
        <w:spacing w:after="0"/>
      </w:pPr>
      <w:r>
        <w:separator/>
      </w:r>
    </w:p>
  </w:footnote>
  <w:footnote w:type="continuationSeparator" w:id="0">
    <w:p w:rsidR="00C50DC6" w:rsidRDefault="00C50DC6" w:rsidP="006240FC">
      <w:pPr>
        <w:spacing w:after="0"/>
      </w:pPr>
      <w:r>
        <w:continuationSeparator/>
      </w:r>
    </w:p>
  </w:footnote>
  <w:footnote w:id="1">
    <w:p w:rsidR="00306C66" w:rsidRPr="005E0D4E" w:rsidRDefault="00306C66" w:rsidP="00306C66">
      <w:pPr>
        <w:pStyle w:val="Textpoznpodarou"/>
        <w:rPr>
          <w:sz w:val="16"/>
          <w:szCs w:val="16"/>
        </w:rPr>
      </w:pPr>
      <w:r w:rsidRPr="006E1B9D">
        <w:rPr>
          <w:rStyle w:val="Znakapoznpodarou"/>
        </w:rPr>
        <w:footnoteRef/>
      </w:r>
      <w:r w:rsidRPr="006E1B9D">
        <w:t xml:space="preserve"> </w:t>
      </w:r>
      <w:r w:rsidRPr="005E0D4E">
        <w:rPr>
          <w:sz w:val="16"/>
          <w:szCs w:val="16"/>
        </w:rPr>
        <w:t>Nařízení Komise v přenesené pravomoci (EU) č. 480/2014 ze dne 3. Března 2014, kterým se doplňuje nařízení Evropského parlamentu a Rady (EU) č.1303/2013 o společných ustanoveních o Evropském fondu pro regionální rozvoj, Evropském sociálním fondu, Fondu soudržnosti, Evropském zemědělském fondu pro rozvoj venkova a Evropském námořním a rybářském fondu a o obecných ustanoveních o Evropském fondu pro regionální rozvoj, Evropském sociálním fondu, Fondu soudržnosti a Evropském námořním a rybářském fondu</w:t>
      </w:r>
    </w:p>
  </w:footnote>
  <w:footnote w:id="2">
    <w:p w:rsidR="00306C66" w:rsidRPr="005E0D4E" w:rsidRDefault="00306C66" w:rsidP="00306C66">
      <w:pPr>
        <w:pStyle w:val="Textpoznpodarou"/>
        <w:rPr>
          <w:sz w:val="16"/>
          <w:szCs w:val="16"/>
        </w:rPr>
      </w:pPr>
      <w:r w:rsidRPr="005E0D4E">
        <w:rPr>
          <w:rStyle w:val="Znakapoznpodarou"/>
          <w:sz w:val="16"/>
          <w:szCs w:val="16"/>
        </w:rPr>
        <w:footnoteRef/>
      </w:r>
      <w:r w:rsidRPr="005E0D4E">
        <w:rPr>
          <w:sz w:val="16"/>
          <w:szCs w:val="16"/>
        </w:rPr>
        <w:t xml:space="preserve"> Provozní výdaje zahrnují veškeré předpokládané výdaje na nákup zboží a služeb, které nejsou investiční povahy, jelikož se spotřebovávají v každém účetním období. Jedná se o přímé výrobní náklady, administrativní a obecné výdaje, výdaje na tržby a distribuci. Jsou to také náklady na výměnu krátkodobých aktiv, jako je počítačové vybavení apod. Do provozních výdajů nejsou zahrnovány odpisy.</w:t>
      </w:r>
    </w:p>
  </w:footnote>
  <w:footnote w:id="3">
    <w:p w:rsidR="0040174F" w:rsidRPr="00D75E3C" w:rsidRDefault="0040174F">
      <w:pPr>
        <w:pStyle w:val="Textpoznpodarou"/>
        <w:rPr>
          <w:sz w:val="16"/>
          <w:szCs w:val="16"/>
          <w:lang w:val="pl-PL"/>
        </w:rPr>
      </w:pPr>
      <w:r>
        <w:rPr>
          <w:rStyle w:val="Znakapoznpodarou"/>
        </w:rPr>
        <w:footnoteRef/>
      </w:r>
      <w:r>
        <w:t xml:space="preserve"> </w:t>
      </w:r>
      <w:r w:rsidR="00D75E3C" w:rsidRPr="00D75E3C">
        <w:rPr>
          <w:sz w:val="16"/>
          <w:szCs w:val="16"/>
          <w:lang w:val="cs-CZ"/>
        </w:rPr>
        <w:t>V tomto případě žadatel uvede ve formuláři žádosti na kartě Projekt v poli Jiné peněžní příjmy (JPP) následující volbu: Projekt NEvytváří jiné peněžní příjmy. V opačném případě neprojde žádost kontrolou v rámci informačního systému a nebude moci být podepsána.</w:t>
      </w:r>
    </w:p>
  </w:footnote>
  <w:footnote w:id="4">
    <w:p w:rsidR="00306C66" w:rsidRPr="005E0D4E" w:rsidRDefault="00306C66" w:rsidP="00306C66">
      <w:pPr>
        <w:pStyle w:val="Textpoznpodarou"/>
        <w:rPr>
          <w:sz w:val="16"/>
          <w:szCs w:val="16"/>
        </w:rPr>
      </w:pPr>
      <w:r w:rsidRPr="005E0D4E">
        <w:rPr>
          <w:rStyle w:val="Znakapoznpodarou"/>
          <w:sz w:val="16"/>
          <w:szCs w:val="16"/>
        </w:rPr>
        <w:footnoteRef/>
      </w:r>
      <w:r w:rsidRPr="005E0D4E">
        <w:rPr>
          <w:sz w:val="16"/>
          <w:szCs w:val="16"/>
        </w:rPr>
        <w:t xml:space="preserve"> 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footnote>
  <w:footnote w:id="5">
    <w:p w:rsidR="00306C66" w:rsidRPr="006E1B9D" w:rsidRDefault="00306C66" w:rsidP="00306C66">
      <w:pPr>
        <w:pStyle w:val="Textpoznpodarou"/>
      </w:pPr>
      <w:r w:rsidRPr="006E1B9D">
        <w:rPr>
          <w:rStyle w:val="Znakapoznpodarou"/>
        </w:rPr>
        <w:footnoteRef/>
      </w:r>
      <w:r w:rsidRPr="0014606B">
        <w:rPr>
          <w:sz w:val="16"/>
          <w:szCs w:val="16"/>
          <w:lang w:val="pl-PL"/>
        </w:rPr>
        <w:t>Wydatki (koszty) operacyjne obejmują</w:t>
      </w:r>
      <w:r w:rsidRPr="0014606B">
        <w:rPr>
          <w:sz w:val="16"/>
          <w:szCs w:val="16"/>
          <w:lang w:val="pl-PL"/>
        </w:rPr>
        <w:t xml:space="preserve"> wszelkie przewidywane wydatki na zakup towarów i usług, które nie mają charakteru inwestycyjnego, ponieważ zużywają się w każdym okresie obrachunkowym. Chodzi o bezpośrednie koszty produkcji, koszty administracyjne i ogólne, koszty związane ze sprzedażą i dystrybucją. Są to także koszty wymiany aktywów krótkookresowych, jakimi są sprzęt komputerowy itp. Wydatki operacyjne nie obejmują odpisów amortyzacyjnych.</w:t>
      </w:r>
    </w:p>
  </w:footnote>
  <w:footnote w:id="6">
    <w:p w:rsidR="0040174F" w:rsidRPr="0040174F" w:rsidRDefault="0040174F">
      <w:pPr>
        <w:pStyle w:val="Textpoznpodarou"/>
        <w:rPr>
          <w:lang w:val="pl-PL"/>
        </w:rPr>
      </w:pPr>
      <w:r>
        <w:rPr>
          <w:rStyle w:val="Znakapoznpodarou"/>
        </w:rPr>
        <w:footnoteRef/>
      </w:r>
      <w:r>
        <w:t xml:space="preserve"> </w:t>
      </w:r>
      <w:r w:rsidR="00D75E3C" w:rsidRPr="00D75E3C">
        <w:rPr>
          <w:sz w:val="16"/>
          <w:szCs w:val="16"/>
          <w:lang w:val="cs-CZ"/>
        </w:rPr>
        <w:t>W taki przypadku we wniosku projektowym w zakładce Pozostałe przychody pieniężne wybierze: Projekt NIE generuje innych przychodów pieniężnych. W przeciwnym wypadku projekt nie będzie mógł przejść pomyslnie kontroli systemu i wniosek nie będzie mógł być złożony.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F8" w:rsidRDefault="00693EF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A4" w:rsidRPr="00C46EB2" w:rsidRDefault="004021A4" w:rsidP="004021A4">
    <w:pPr>
      <w:pStyle w:val="Zhlav"/>
      <w:rPr>
        <w:rFonts w:cs="Arial"/>
        <w:b/>
      </w:rPr>
    </w:pPr>
    <w:r w:rsidRPr="00C46EB2">
      <w:rPr>
        <w:rFonts w:cs="Arial"/>
      </w:rPr>
      <w:t xml:space="preserve">Fond mikroprojektů Euroregionu Beskydy/Beskidy, verze </w:t>
    </w:r>
    <w:r>
      <w:rPr>
        <w:rFonts w:cs="Arial"/>
      </w:rPr>
      <w:t>2</w:t>
    </w:r>
    <w:r w:rsidRPr="00C46EB2">
      <w:rPr>
        <w:rFonts w:cs="Arial"/>
      </w:rPr>
      <w:tab/>
    </w:r>
    <w:r w:rsidRPr="00C46EB2">
      <w:rPr>
        <w:rFonts w:cs="Arial"/>
      </w:rPr>
      <w:tab/>
    </w:r>
    <w:r w:rsidRPr="00C46EB2">
      <w:rPr>
        <w:rFonts w:cs="Arial"/>
      </w:rPr>
      <w:tab/>
      <w:t xml:space="preserve">            </w:t>
    </w:r>
    <w:r>
      <w:rPr>
        <w:rFonts w:cs="Arial"/>
      </w:rPr>
      <w:t xml:space="preserve">                                 </w:t>
    </w:r>
    <w:r w:rsidRPr="00C46EB2">
      <w:rPr>
        <w:rFonts w:cs="Arial"/>
      </w:rPr>
      <w:t xml:space="preserve">   </w:t>
    </w:r>
    <w:r w:rsidRPr="00C46EB2">
      <w:rPr>
        <w:rFonts w:cs="Arial"/>
        <w:b/>
      </w:rPr>
      <w:t>Příloha č.</w:t>
    </w:r>
    <w:r>
      <w:rPr>
        <w:rFonts w:cs="Arial"/>
        <w:b/>
      </w:rPr>
      <w:t xml:space="preserve"> 7</w:t>
    </w:r>
    <w:r w:rsidRPr="00C46EB2">
      <w:rPr>
        <w:rFonts w:cs="Arial"/>
        <w:b/>
      </w:rPr>
      <w:t xml:space="preserve">  Směrnice pro žadatele</w:t>
    </w:r>
  </w:p>
  <w:p w:rsidR="004021A4" w:rsidRPr="00C46EB2" w:rsidRDefault="004021A4" w:rsidP="004021A4">
    <w:pPr>
      <w:pStyle w:val="Zhlav"/>
    </w:pPr>
    <w:r w:rsidRPr="00C46EB2">
      <w:t xml:space="preserve">Program INTERREG V-A Česká republika </w:t>
    </w:r>
    <w:r>
      <w:t>–</w:t>
    </w:r>
    <w:r w:rsidRPr="00C46EB2">
      <w:t xml:space="preserve"> Polsko</w:t>
    </w:r>
    <w:r>
      <w:t xml:space="preserve">                                                                                                                                                                               </w:t>
    </w:r>
    <w:r w:rsidRPr="00306C66">
      <w:rPr>
        <w:b/>
      </w:rPr>
      <w:t>Projekty vytvářející příjmy</w:t>
    </w:r>
    <w:r>
      <w:rPr>
        <w:b/>
      </w:rPr>
      <w:t xml:space="preserve"> CZ-PL</w:t>
    </w:r>
  </w:p>
  <w:p w:rsidR="005E0D4E" w:rsidRPr="005E0D4E" w:rsidRDefault="005E0D4E">
    <w:pPr>
      <w:pStyle w:val="Zhlav"/>
      <w:rPr>
        <w:lang w:val="pl-P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F8" w:rsidRDefault="00693EF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90FC9"/>
    <w:multiLevelType w:val="hybridMultilevel"/>
    <w:tmpl w:val="71EA91CA"/>
    <w:lvl w:ilvl="0" w:tplc="37981B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42204BF"/>
    <w:multiLevelType w:val="hybridMultilevel"/>
    <w:tmpl w:val="6FB4E356"/>
    <w:lvl w:ilvl="0" w:tplc="16E844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6D978C9"/>
    <w:multiLevelType w:val="hybridMultilevel"/>
    <w:tmpl w:val="9F841892"/>
    <w:lvl w:ilvl="0" w:tplc="6AB4EF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1B77937"/>
    <w:multiLevelType w:val="hybridMultilevel"/>
    <w:tmpl w:val="25847A52"/>
    <w:lvl w:ilvl="0" w:tplc="37981B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7427DCF"/>
    <w:multiLevelType w:val="hybridMultilevel"/>
    <w:tmpl w:val="A678E47A"/>
    <w:lvl w:ilvl="0" w:tplc="37981B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0FC"/>
    <w:rsid w:val="00001DFA"/>
    <w:rsid w:val="000840D2"/>
    <w:rsid w:val="00142CFF"/>
    <w:rsid w:val="0014606B"/>
    <w:rsid w:val="001C417E"/>
    <w:rsid w:val="002A5D0F"/>
    <w:rsid w:val="00306C66"/>
    <w:rsid w:val="00350CD7"/>
    <w:rsid w:val="0040174F"/>
    <w:rsid w:val="004021A4"/>
    <w:rsid w:val="00445A14"/>
    <w:rsid w:val="004567E4"/>
    <w:rsid w:val="004856B3"/>
    <w:rsid w:val="004F2296"/>
    <w:rsid w:val="004F2DAB"/>
    <w:rsid w:val="005C79EE"/>
    <w:rsid w:val="005E0D4E"/>
    <w:rsid w:val="00620387"/>
    <w:rsid w:val="006240FC"/>
    <w:rsid w:val="00693EF8"/>
    <w:rsid w:val="00964D83"/>
    <w:rsid w:val="009735BB"/>
    <w:rsid w:val="009764B9"/>
    <w:rsid w:val="00A63855"/>
    <w:rsid w:val="00AA68DE"/>
    <w:rsid w:val="00AE1D08"/>
    <w:rsid w:val="00AF6D25"/>
    <w:rsid w:val="00B47F23"/>
    <w:rsid w:val="00BC7048"/>
    <w:rsid w:val="00BD529C"/>
    <w:rsid w:val="00BF5388"/>
    <w:rsid w:val="00C078FB"/>
    <w:rsid w:val="00C50DC6"/>
    <w:rsid w:val="00C84537"/>
    <w:rsid w:val="00CB43C9"/>
    <w:rsid w:val="00CD487C"/>
    <w:rsid w:val="00CE6210"/>
    <w:rsid w:val="00D1631F"/>
    <w:rsid w:val="00D23087"/>
    <w:rsid w:val="00D75E3C"/>
    <w:rsid w:val="00E008CB"/>
    <w:rsid w:val="00E248AE"/>
    <w:rsid w:val="00E30FEA"/>
    <w:rsid w:val="00E54F27"/>
    <w:rsid w:val="00E866B2"/>
    <w:rsid w:val="00E917DA"/>
    <w:rsid w:val="00EB693E"/>
    <w:rsid w:val="00EE7667"/>
    <w:rsid w:val="00F046B8"/>
    <w:rsid w:val="00FD2B5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6C66"/>
    <w:pPr>
      <w:spacing w:before="40" w:after="40"/>
      <w:jc w:val="both"/>
    </w:pPr>
    <w:rPr>
      <w:rFonts w:ascii="Arial" w:eastAsia="Times New Roman" w:hAnsi="Arial"/>
      <w:sz w:val="16"/>
      <w:szCs w:val="16"/>
    </w:rPr>
  </w:style>
  <w:style w:type="paragraph" w:styleId="Nadpis4">
    <w:name w:val="heading 4"/>
    <w:basedOn w:val="Normln"/>
    <w:next w:val="Normln"/>
    <w:link w:val="Nadpis4Char"/>
    <w:uiPriority w:val="9"/>
    <w:qFormat/>
    <w:rsid w:val="00306C66"/>
    <w:pPr>
      <w:keepNext/>
      <w:spacing w:before="240" w:after="60"/>
      <w:outlineLvl w:val="3"/>
    </w:pPr>
    <w:rPr>
      <w:b/>
      <w:bCs/>
      <w:sz w:val="20"/>
      <w:lang/>
    </w:rPr>
  </w:style>
  <w:style w:type="paragraph" w:styleId="Nadpis5">
    <w:name w:val="heading 5"/>
    <w:basedOn w:val="Normln"/>
    <w:next w:val="Normln"/>
    <w:link w:val="Nadpis5Char"/>
    <w:qFormat/>
    <w:rsid w:val="00306C66"/>
    <w:pPr>
      <w:spacing w:before="240" w:after="60"/>
      <w:outlineLvl w:val="4"/>
    </w:pPr>
    <w:rPr>
      <w:b/>
      <w:bCs/>
      <w:iCs/>
      <w:szCs w:val="26"/>
      <w:u w:val="single"/>
      <w:lang w:val="pl-PL"/>
    </w:rPr>
  </w:style>
  <w:style w:type="paragraph" w:styleId="Nadpis6">
    <w:name w:val="heading 6"/>
    <w:basedOn w:val="Normln"/>
    <w:next w:val="Normln"/>
    <w:link w:val="Nadpis6Char"/>
    <w:qFormat/>
    <w:rsid w:val="00306C66"/>
    <w:pPr>
      <w:spacing w:before="240" w:after="60"/>
      <w:outlineLvl w:val="5"/>
    </w:pPr>
    <w:rPr>
      <w:bCs/>
      <w:i/>
      <w:szCs w:val="20"/>
      <w:u w:val="single"/>
      <w:lang/>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24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semiHidden/>
    <w:unhideWhenUsed/>
    <w:rsid w:val="006240FC"/>
    <w:pPr>
      <w:spacing w:after="0"/>
    </w:pPr>
    <w:rPr>
      <w:rFonts w:ascii="Calibri" w:eastAsia="Calibri" w:hAnsi="Calibri"/>
      <w:sz w:val="20"/>
      <w:szCs w:val="20"/>
      <w:lang/>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link w:val="Textpoznpodarou"/>
    <w:rsid w:val="006240FC"/>
    <w:rPr>
      <w:sz w:val="20"/>
      <w:szCs w:val="20"/>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unhideWhenUsed/>
    <w:rsid w:val="006240FC"/>
    <w:rPr>
      <w:vertAlign w:val="superscript"/>
    </w:rPr>
  </w:style>
  <w:style w:type="table" w:customStyle="1" w:styleId="Mkatabulky1">
    <w:name w:val="Mřížka tabulky1"/>
    <w:basedOn w:val="Normlntabulka"/>
    <w:next w:val="Mkatabulky"/>
    <w:uiPriority w:val="59"/>
    <w:rsid w:val="00624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AF6D25"/>
    <w:pPr>
      <w:ind w:left="720"/>
      <w:contextualSpacing/>
    </w:pPr>
  </w:style>
  <w:style w:type="paragraph" w:styleId="Zhlav">
    <w:name w:val="header"/>
    <w:basedOn w:val="Normln"/>
    <w:link w:val="ZhlavChar"/>
    <w:uiPriority w:val="99"/>
    <w:unhideWhenUsed/>
    <w:rsid w:val="00FD2B52"/>
    <w:pPr>
      <w:tabs>
        <w:tab w:val="center" w:pos="4536"/>
        <w:tab w:val="right" w:pos="9072"/>
      </w:tabs>
      <w:spacing w:after="0"/>
    </w:pPr>
  </w:style>
  <w:style w:type="character" w:customStyle="1" w:styleId="ZhlavChar">
    <w:name w:val="Záhlaví Char"/>
    <w:basedOn w:val="Standardnpsmoodstavce"/>
    <w:link w:val="Zhlav"/>
    <w:uiPriority w:val="99"/>
    <w:rsid w:val="00FD2B52"/>
  </w:style>
  <w:style w:type="paragraph" w:styleId="Zpat">
    <w:name w:val="footer"/>
    <w:basedOn w:val="Normln"/>
    <w:link w:val="ZpatChar"/>
    <w:uiPriority w:val="99"/>
    <w:unhideWhenUsed/>
    <w:rsid w:val="00FD2B52"/>
    <w:pPr>
      <w:tabs>
        <w:tab w:val="center" w:pos="4536"/>
        <w:tab w:val="right" w:pos="9072"/>
      </w:tabs>
      <w:spacing w:after="0"/>
    </w:pPr>
  </w:style>
  <w:style w:type="character" w:customStyle="1" w:styleId="ZpatChar">
    <w:name w:val="Zápatí Char"/>
    <w:basedOn w:val="Standardnpsmoodstavce"/>
    <w:link w:val="Zpat"/>
    <w:uiPriority w:val="99"/>
    <w:rsid w:val="00FD2B52"/>
  </w:style>
  <w:style w:type="paragraph" w:styleId="Textbubliny">
    <w:name w:val="Balloon Text"/>
    <w:basedOn w:val="Normln"/>
    <w:link w:val="TextbublinyChar"/>
    <w:uiPriority w:val="99"/>
    <w:semiHidden/>
    <w:unhideWhenUsed/>
    <w:rsid w:val="00FD2B52"/>
    <w:pPr>
      <w:spacing w:after="0"/>
    </w:pPr>
    <w:rPr>
      <w:rFonts w:ascii="Tahoma" w:eastAsia="Calibri" w:hAnsi="Tahoma"/>
      <w:lang/>
    </w:rPr>
  </w:style>
  <w:style w:type="character" w:customStyle="1" w:styleId="TextbublinyChar">
    <w:name w:val="Text bubliny Char"/>
    <w:link w:val="Textbubliny"/>
    <w:uiPriority w:val="99"/>
    <w:semiHidden/>
    <w:rsid w:val="00FD2B52"/>
    <w:rPr>
      <w:rFonts w:ascii="Tahoma" w:hAnsi="Tahoma" w:cs="Tahoma"/>
      <w:sz w:val="16"/>
      <w:szCs w:val="16"/>
    </w:rPr>
  </w:style>
  <w:style w:type="character" w:styleId="Odkaznakoment">
    <w:name w:val="annotation reference"/>
    <w:uiPriority w:val="99"/>
    <w:semiHidden/>
    <w:unhideWhenUsed/>
    <w:rsid w:val="009764B9"/>
    <w:rPr>
      <w:sz w:val="16"/>
      <w:szCs w:val="16"/>
    </w:rPr>
  </w:style>
  <w:style w:type="paragraph" w:styleId="Textkomente">
    <w:name w:val="annotation text"/>
    <w:basedOn w:val="Normln"/>
    <w:link w:val="TextkomenteChar"/>
    <w:uiPriority w:val="99"/>
    <w:semiHidden/>
    <w:unhideWhenUsed/>
    <w:rsid w:val="009764B9"/>
    <w:rPr>
      <w:rFonts w:ascii="Calibri" w:eastAsia="Calibri" w:hAnsi="Calibri"/>
      <w:sz w:val="20"/>
      <w:szCs w:val="20"/>
      <w:lang/>
    </w:rPr>
  </w:style>
  <w:style w:type="character" w:customStyle="1" w:styleId="TextkomenteChar">
    <w:name w:val="Text komentáře Char"/>
    <w:link w:val="Textkomente"/>
    <w:uiPriority w:val="99"/>
    <w:semiHidden/>
    <w:rsid w:val="009764B9"/>
    <w:rPr>
      <w:sz w:val="20"/>
      <w:szCs w:val="20"/>
    </w:rPr>
  </w:style>
  <w:style w:type="paragraph" w:styleId="Pedmtkomente">
    <w:name w:val="annotation subject"/>
    <w:basedOn w:val="Textkomente"/>
    <w:next w:val="Textkomente"/>
    <w:link w:val="PedmtkomenteChar"/>
    <w:uiPriority w:val="99"/>
    <w:semiHidden/>
    <w:unhideWhenUsed/>
    <w:rsid w:val="009764B9"/>
    <w:rPr>
      <w:b/>
      <w:bCs/>
    </w:rPr>
  </w:style>
  <w:style w:type="character" w:customStyle="1" w:styleId="PedmtkomenteChar">
    <w:name w:val="Předmět komentáře Char"/>
    <w:link w:val="Pedmtkomente"/>
    <w:uiPriority w:val="99"/>
    <w:semiHidden/>
    <w:rsid w:val="009764B9"/>
    <w:rPr>
      <w:b/>
      <w:bCs/>
      <w:sz w:val="20"/>
      <w:szCs w:val="20"/>
    </w:rPr>
  </w:style>
  <w:style w:type="character" w:customStyle="1" w:styleId="Nadpis4Char">
    <w:name w:val="Nadpis 4 Char"/>
    <w:link w:val="Nadpis4"/>
    <w:uiPriority w:val="9"/>
    <w:rsid w:val="00306C66"/>
    <w:rPr>
      <w:rFonts w:ascii="Arial" w:eastAsia="Times New Roman" w:hAnsi="Arial" w:cs="Times New Roman"/>
      <w:b/>
      <w:bCs/>
      <w:sz w:val="20"/>
      <w:szCs w:val="16"/>
      <w:lang w:eastAsia="cs-CZ"/>
    </w:rPr>
  </w:style>
  <w:style w:type="character" w:customStyle="1" w:styleId="Nadpis5Char">
    <w:name w:val="Nadpis 5 Char"/>
    <w:link w:val="Nadpis5"/>
    <w:rsid w:val="00306C66"/>
    <w:rPr>
      <w:rFonts w:ascii="Arial" w:eastAsia="Times New Roman" w:hAnsi="Arial" w:cs="Times New Roman"/>
      <w:b/>
      <w:bCs/>
      <w:iCs/>
      <w:sz w:val="16"/>
      <w:szCs w:val="26"/>
      <w:u w:val="single"/>
      <w:lang w:val="pl-PL" w:eastAsia="cs-CZ"/>
    </w:rPr>
  </w:style>
  <w:style w:type="character" w:customStyle="1" w:styleId="Nadpis6Char">
    <w:name w:val="Nadpis 6 Char"/>
    <w:link w:val="Nadpis6"/>
    <w:rsid w:val="00306C66"/>
    <w:rPr>
      <w:rFonts w:ascii="Arial" w:eastAsia="Times New Roman" w:hAnsi="Arial" w:cs="Times New Roman"/>
      <w:bCs/>
      <w:i/>
      <w:sz w:val="16"/>
      <w:u w:val="single"/>
      <w:lang w:eastAsia="cs-CZ"/>
    </w:rPr>
  </w:style>
  <w:style w:type="character" w:customStyle="1" w:styleId="OdstavecseseznamemChar">
    <w:name w:val="Odstavec se seznamem Char"/>
    <w:link w:val="Odstavecseseznamem"/>
    <w:uiPriority w:val="34"/>
    <w:locked/>
    <w:rsid w:val="00306C66"/>
  </w:style>
  <w:style w:type="paragraph" w:styleId="Textvysvtlivek">
    <w:name w:val="endnote text"/>
    <w:basedOn w:val="Normln"/>
    <w:link w:val="TextvysvtlivekChar"/>
    <w:uiPriority w:val="99"/>
    <w:semiHidden/>
    <w:unhideWhenUsed/>
    <w:rsid w:val="00E54F27"/>
    <w:rPr>
      <w:sz w:val="20"/>
      <w:szCs w:val="20"/>
    </w:rPr>
  </w:style>
  <w:style w:type="character" w:customStyle="1" w:styleId="TextvysvtlivekChar">
    <w:name w:val="Text vysvětlivek Char"/>
    <w:link w:val="Textvysvtlivek"/>
    <w:uiPriority w:val="99"/>
    <w:semiHidden/>
    <w:rsid w:val="00E54F27"/>
    <w:rPr>
      <w:rFonts w:ascii="Arial" w:eastAsia="Times New Roman" w:hAnsi="Arial"/>
      <w:lang w:val="cs-CZ" w:eastAsia="cs-CZ"/>
    </w:rPr>
  </w:style>
  <w:style w:type="character" w:styleId="Odkaznavysvtlivky">
    <w:name w:val="endnote reference"/>
    <w:uiPriority w:val="99"/>
    <w:semiHidden/>
    <w:unhideWhenUsed/>
    <w:rsid w:val="00E54F2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26A4F-1246-428A-95A8-BEFE26E9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3565</Words>
  <Characters>21039</Characters>
  <Application>Microsoft Office Word</Application>
  <DocSecurity>0</DocSecurity>
  <Lines>175</Lines>
  <Paragraphs>49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Euroregion Beskidy</Company>
  <LinksUpToDate>false</LinksUpToDate>
  <CharactersWithSpaces>24555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europraded</dc:creator>
  <cp:lastModifiedBy>Dagmar</cp:lastModifiedBy>
  <cp:revision>2</cp:revision>
  <dcterms:created xsi:type="dcterms:W3CDTF">2019-03-06T10:29:00Z</dcterms:created>
  <dcterms:modified xsi:type="dcterms:W3CDTF">2019-03-06T10:29:00Z</dcterms:modified>
</cp:coreProperties>
</file>