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62E" w:rsidRDefault="00A5462E" w:rsidP="00A5462E">
      <w:pPr>
        <w:jc w:val="both"/>
        <w:rPr>
          <w:rStyle w:val="apple-converted-space"/>
          <w:rFonts w:cstheme="minorHAnsi"/>
          <w:color w:val="FF0000"/>
          <w:sz w:val="24"/>
          <w:szCs w:val="24"/>
        </w:rPr>
      </w:pPr>
      <w:r w:rsidRPr="00A5462E">
        <w:rPr>
          <w:rFonts w:cstheme="minorHAnsi"/>
          <w:color w:val="FF0000"/>
          <w:sz w:val="24"/>
          <w:szCs w:val="24"/>
        </w:rPr>
        <w:t>Dne 16. ledna 2017 MMR v pozici ŘO/NO a NK pro programy Cíle 2 vydal výklad ve věci postupu při zadávání zakázek, které jsou realizovány mimo režim zákona dle tzv. Metodického pokynu pro oblast zadávání zakázek pro programové období 2014-2020 do doby vydání jeho aktualizované verze ve vazbě na zákon č. 134/2016</w:t>
      </w:r>
      <w:r>
        <w:rPr>
          <w:rFonts w:cstheme="minorHAnsi"/>
          <w:color w:val="FF0000"/>
          <w:sz w:val="24"/>
          <w:szCs w:val="24"/>
        </w:rPr>
        <w:t xml:space="preserve"> </w:t>
      </w:r>
      <w:r w:rsidRPr="00A5462E">
        <w:rPr>
          <w:rFonts w:cstheme="minorHAnsi"/>
          <w:color w:val="FF0000"/>
          <w:sz w:val="24"/>
          <w:szCs w:val="24"/>
        </w:rPr>
        <w:t>Sb.</w:t>
      </w:r>
    </w:p>
    <w:p w:rsidR="00A5462E" w:rsidRDefault="00A5462E" w:rsidP="00A5462E">
      <w:pPr>
        <w:jc w:val="both"/>
        <w:rPr>
          <w:rStyle w:val="apple-converted-space"/>
          <w:rFonts w:cstheme="minorHAnsi"/>
          <w:color w:val="FF0000"/>
          <w:sz w:val="24"/>
          <w:szCs w:val="24"/>
        </w:rPr>
      </w:pPr>
    </w:p>
    <w:p w:rsidR="00A5462E" w:rsidRPr="00A5462E" w:rsidRDefault="00A5462E" w:rsidP="00A5462E">
      <w:pPr>
        <w:jc w:val="both"/>
        <w:rPr>
          <w:rFonts w:cstheme="minorHAnsi"/>
          <w:b/>
          <w:color w:val="FF0000"/>
          <w:sz w:val="24"/>
          <w:szCs w:val="24"/>
          <w:u w:val="single"/>
        </w:rPr>
      </w:pPr>
      <w:bookmarkStart w:id="0" w:name="_GoBack"/>
      <w:bookmarkEnd w:id="0"/>
    </w:p>
    <w:p w:rsidR="00A5462E" w:rsidRDefault="00A5462E" w:rsidP="008F46CC">
      <w:pPr>
        <w:rPr>
          <w:b/>
          <w:u w:val="single"/>
        </w:rPr>
      </w:pPr>
    </w:p>
    <w:p w:rsidR="008F46CC" w:rsidRPr="008F46CC" w:rsidRDefault="008F46CC" w:rsidP="008F46CC">
      <w:pPr>
        <w:rPr>
          <w:b/>
          <w:u w:val="single"/>
        </w:rPr>
      </w:pPr>
      <w:r w:rsidRPr="008F46CC">
        <w:rPr>
          <w:b/>
          <w:u w:val="single"/>
        </w:rPr>
        <w:t>Stanovisko ŘO</w:t>
      </w:r>
      <w:r w:rsidR="00CD68EC">
        <w:rPr>
          <w:b/>
          <w:u w:val="single"/>
        </w:rPr>
        <w:t>/</w:t>
      </w:r>
      <w:r w:rsidRPr="008F46CC">
        <w:rPr>
          <w:b/>
          <w:u w:val="single"/>
        </w:rPr>
        <w:t>NO</w:t>
      </w:r>
      <w:r w:rsidR="00CD68EC">
        <w:rPr>
          <w:b/>
          <w:u w:val="single"/>
        </w:rPr>
        <w:t xml:space="preserve"> a </w:t>
      </w:r>
      <w:r w:rsidR="009321EE">
        <w:rPr>
          <w:b/>
          <w:u w:val="single"/>
        </w:rPr>
        <w:t xml:space="preserve">NK </w:t>
      </w:r>
      <w:r w:rsidRPr="008F46CC">
        <w:rPr>
          <w:b/>
          <w:u w:val="single"/>
        </w:rPr>
        <w:t xml:space="preserve"> programů Cíle EÚS k postupu dle MPZ po nabytí účinnosti zákona č.</w:t>
      </w:r>
      <w:r w:rsidR="009321EE">
        <w:rPr>
          <w:b/>
          <w:u w:val="single"/>
        </w:rPr>
        <w:t> </w:t>
      </w:r>
      <w:r w:rsidRPr="008F46CC">
        <w:rPr>
          <w:b/>
          <w:u w:val="single"/>
        </w:rPr>
        <w:t>134/2016 Sb.</w:t>
      </w:r>
    </w:p>
    <w:p w:rsidR="008F46CC" w:rsidRDefault="008F46CC" w:rsidP="008F46CC">
      <w:r>
        <w:t>Dne 1. října 2016 nabyl účinnosti zákon č. 134/2016 Sb., o zadávání veřejných zakázek (dále jen „ZZVZ“), který nahradil zákon č. 137/2006 Sb., o veřejných zakázkách, ve znění pozdějších předpisů (dále jen „ZVZ“). Odkaz v Metodickém pokynu pro oblast zadávání zakázek pro programové období 2014-2020 (dále jen „MPZ“) na ZVZ nebo na jeho prováděcí předpisy musí být vykládán jako odkaz na ZZVZ nebo na prováděcí předpisy k ZZVZ.</w:t>
      </w:r>
    </w:p>
    <w:p w:rsidR="008F46CC" w:rsidRDefault="008F46CC" w:rsidP="008F46CC">
      <w:r>
        <w:t>ŘO</w:t>
      </w:r>
      <w:r w:rsidR="009321EE">
        <w:t>/</w:t>
      </w:r>
      <w:r>
        <w:t>NO</w:t>
      </w:r>
      <w:r w:rsidR="009321EE">
        <w:t xml:space="preserve"> a NK</w:t>
      </w:r>
      <w:r>
        <w:t xml:space="preserve"> připravil seznam ustanovení MPZ, která odkazují na ZVZ, a seznam analogických ustanovení ZZVZ.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07"/>
        <w:gridCol w:w="4002"/>
        <w:gridCol w:w="3979"/>
      </w:tblGrid>
      <w:tr w:rsidR="008F46CC" w:rsidRPr="008F46CC" w:rsidTr="008F46CC">
        <w:tc>
          <w:tcPr>
            <w:tcW w:w="1307" w:type="dxa"/>
          </w:tcPr>
          <w:p w:rsidR="008F46CC" w:rsidRPr="008F46CC" w:rsidRDefault="008F46CC" w:rsidP="008F46CC">
            <w:pPr>
              <w:jc w:val="center"/>
              <w:rPr>
                <w:b/>
              </w:rPr>
            </w:pPr>
            <w:r w:rsidRPr="008F46CC">
              <w:rPr>
                <w:b/>
              </w:rPr>
              <w:t>Ustanovení MPZ</w:t>
            </w:r>
          </w:p>
        </w:tc>
        <w:tc>
          <w:tcPr>
            <w:tcW w:w="3922" w:type="dxa"/>
          </w:tcPr>
          <w:p w:rsidR="008F46CC" w:rsidRPr="008F46CC" w:rsidRDefault="008F46CC" w:rsidP="008F46CC">
            <w:pPr>
              <w:jc w:val="center"/>
              <w:rPr>
                <w:b/>
              </w:rPr>
            </w:pPr>
            <w:r w:rsidRPr="008F46CC">
              <w:rPr>
                <w:b/>
              </w:rPr>
              <w:t>Znění aktuální verze MPZ</w:t>
            </w:r>
          </w:p>
          <w:p w:rsidR="008F46CC" w:rsidRPr="008F46CC" w:rsidRDefault="008F46CC" w:rsidP="008F46CC">
            <w:pPr>
              <w:jc w:val="center"/>
              <w:rPr>
                <w:b/>
              </w:rPr>
            </w:pPr>
          </w:p>
        </w:tc>
        <w:tc>
          <w:tcPr>
            <w:tcW w:w="4059" w:type="dxa"/>
          </w:tcPr>
          <w:p w:rsidR="008F46CC" w:rsidRPr="008F46CC" w:rsidRDefault="008F46CC" w:rsidP="008F46CC">
            <w:pPr>
              <w:jc w:val="center"/>
              <w:rPr>
                <w:b/>
              </w:rPr>
            </w:pPr>
            <w:r w:rsidRPr="008F46CC">
              <w:rPr>
                <w:b/>
              </w:rPr>
              <w:t>Analogická úprava podle ZZVZ od 1. října 2016</w:t>
            </w:r>
          </w:p>
        </w:tc>
      </w:tr>
      <w:tr w:rsidR="008F46CC" w:rsidRPr="008F46CC" w:rsidTr="008F46CC">
        <w:tc>
          <w:tcPr>
            <w:tcW w:w="1307" w:type="dxa"/>
          </w:tcPr>
          <w:p w:rsidR="008F46CC" w:rsidRPr="008F46CC" w:rsidRDefault="008F46CC" w:rsidP="008F46CC">
            <w:pPr>
              <w:jc w:val="both"/>
              <w:rPr>
                <w:b/>
              </w:rPr>
            </w:pPr>
            <w:r w:rsidRPr="008F46CC">
              <w:rPr>
                <w:b/>
              </w:rPr>
              <w:t>Kapitola 3</w:t>
            </w:r>
          </w:p>
          <w:p w:rsidR="008F46CC" w:rsidRPr="008F46CC" w:rsidRDefault="008F46CC" w:rsidP="008F46CC">
            <w:pPr>
              <w:jc w:val="both"/>
              <w:rPr>
                <w:b/>
              </w:rPr>
            </w:pPr>
          </w:p>
        </w:tc>
        <w:tc>
          <w:tcPr>
            <w:tcW w:w="3922" w:type="dxa"/>
          </w:tcPr>
          <w:p w:rsidR="008F46CC" w:rsidRPr="008F46CC" w:rsidRDefault="008F46CC" w:rsidP="008F46CC">
            <w:pPr>
              <w:jc w:val="both"/>
            </w:pPr>
            <w:r w:rsidRPr="008F46CC">
              <w:t>Profil zadavatele – Elektronický nástroj definovaný podle § 17 písm. w) ZVZ.</w:t>
            </w:r>
          </w:p>
          <w:p w:rsidR="008F46CC" w:rsidRPr="008F46CC" w:rsidRDefault="008F46CC" w:rsidP="008F46CC">
            <w:pPr>
              <w:jc w:val="both"/>
            </w:pPr>
          </w:p>
        </w:tc>
        <w:tc>
          <w:tcPr>
            <w:tcW w:w="4059" w:type="dxa"/>
          </w:tcPr>
          <w:p w:rsidR="008F46CC" w:rsidRPr="008F46CC" w:rsidRDefault="008F46CC" w:rsidP="008F46CC">
            <w:pPr>
              <w:jc w:val="both"/>
            </w:pPr>
            <w:r w:rsidRPr="008F46CC">
              <w:t>Profilem zadavatele je elektronický nástroj podle § 214 ZZVZ.</w:t>
            </w:r>
          </w:p>
          <w:p w:rsidR="008F46CC" w:rsidRPr="008F46CC" w:rsidRDefault="008F46CC" w:rsidP="008F46CC">
            <w:pPr>
              <w:jc w:val="both"/>
            </w:pPr>
          </w:p>
        </w:tc>
      </w:tr>
      <w:tr w:rsidR="008F46CC" w:rsidRPr="008F46CC" w:rsidTr="008F46CC">
        <w:tc>
          <w:tcPr>
            <w:tcW w:w="1307" w:type="dxa"/>
          </w:tcPr>
          <w:p w:rsidR="008F46CC" w:rsidRPr="008F46CC" w:rsidRDefault="008F46CC" w:rsidP="008F46CC">
            <w:pPr>
              <w:jc w:val="both"/>
              <w:rPr>
                <w:b/>
              </w:rPr>
            </w:pPr>
            <w:r w:rsidRPr="008F46CC">
              <w:rPr>
                <w:b/>
              </w:rPr>
              <w:t>Bod 5.2</w:t>
            </w:r>
          </w:p>
          <w:p w:rsidR="008F46CC" w:rsidRPr="008F46CC" w:rsidRDefault="008F46CC" w:rsidP="008F46CC">
            <w:pPr>
              <w:jc w:val="both"/>
              <w:rPr>
                <w:b/>
              </w:rPr>
            </w:pPr>
          </w:p>
        </w:tc>
        <w:tc>
          <w:tcPr>
            <w:tcW w:w="3922" w:type="dxa"/>
          </w:tcPr>
          <w:p w:rsidR="008F46CC" w:rsidRPr="008F46CC" w:rsidRDefault="008F46CC" w:rsidP="008F46CC">
            <w:pPr>
              <w:jc w:val="both"/>
            </w:pPr>
            <w:r w:rsidRPr="008F46CC">
              <w:t>Příjemci, kteří jsou veřejnými nebo dotovanými zadavateli podle § 2 odst. 2 a 3 ZVZ, jsou povinni zadávat zakázky postupy upravenými v tomto MP při zadání zakázky malé hodnoty. Postupy upravenými v tomto MP nejsou povinni zadávat zakázky malé hodnoty, které splňují podmínky pro použití výjimky stanovené v § 18 odst. 1 až 4 a § 23 ZVZ.</w:t>
            </w:r>
          </w:p>
        </w:tc>
        <w:tc>
          <w:tcPr>
            <w:tcW w:w="4059" w:type="dxa"/>
          </w:tcPr>
          <w:p w:rsidR="008F46CC" w:rsidRPr="008F46CC" w:rsidRDefault="008F46CC" w:rsidP="008F46CC">
            <w:pPr>
              <w:jc w:val="both"/>
            </w:pPr>
            <w:r w:rsidRPr="008F46CC">
              <w:t>Veřejnými nebo dotovanými zadavateli jsou zadavatelé ve smyslu § 4 odst. 1 a 2 ZZVZ.</w:t>
            </w:r>
          </w:p>
          <w:p w:rsidR="008F46CC" w:rsidRPr="008F46CC" w:rsidRDefault="008F46CC" w:rsidP="008F46CC">
            <w:pPr>
              <w:jc w:val="both"/>
            </w:pPr>
            <w:r w:rsidRPr="008F46CC">
              <w:t>Výjimka z postupů, upravených v MPZ, se vztahuje na zakázky malé hodnoty, které splňují podmínky pro použití výjimky stanovené v § 29, § 30 ZZVZ, nebo podmínky pro jejich zadání v jednacím řízení bez uveřejnění podle § 63</w:t>
            </w:r>
            <w:r w:rsidR="003915A1">
              <w:t>.</w:t>
            </w:r>
          </w:p>
        </w:tc>
      </w:tr>
      <w:tr w:rsidR="008F46CC" w:rsidRPr="008F46CC" w:rsidTr="008F46CC">
        <w:tc>
          <w:tcPr>
            <w:tcW w:w="1307" w:type="dxa"/>
          </w:tcPr>
          <w:p w:rsidR="008F46CC" w:rsidRPr="008F46CC" w:rsidRDefault="008F46CC" w:rsidP="008F46CC">
            <w:pPr>
              <w:jc w:val="both"/>
              <w:rPr>
                <w:b/>
              </w:rPr>
            </w:pPr>
            <w:r w:rsidRPr="008F46CC">
              <w:rPr>
                <w:b/>
              </w:rPr>
              <w:t>Bod 5.3</w:t>
            </w:r>
          </w:p>
          <w:p w:rsidR="008F46CC" w:rsidRPr="008F46CC" w:rsidRDefault="008F46CC" w:rsidP="008F46CC">
            <w:pPr>
              <w:jc w:val="both"/>
              <w:rPr>
                <w:b/>
              </w:rPr>
            </w:pPr>
          </w:p>
        </w:tc>
        <w:tc>
          <w:tcPr>
            <w:tcW w:w="3922" w:type="dxa"/>
          </w:tcPr>
          <w:p w:rsidR="008F46CC" w:rsidRPr="008F46CC" w:rsidRDefault="008F46CC" w:rsidP="008F46CC">
            <w:pPr>
              <w:jc w:val="both"/>
            </w:pPr>
            <w:r w:rsidRPr="008F46CC">
              <w:t>Příjemci, kteří jsou sektorovými zadavateli podle § 2 odst. 6 ZVZ jsou povinni zadávat zakázky postupy upravenými v tomto MP při zadání zakázky malé hodnoty a při zadání zakázky vyšší hodnoty, jejíž přepokládaná hodnota nedosáhne hodnoty nadlimitní veřejné zakázky sektorového zadavatele. Postupy upravenými v tomto MP nejsou povinni zadávat zakázky malé hodnoty a vyšší hodnoty, které splňují podmínky pro použití výjimky stanovené v § 18 odst. 1 až 4, § 19 a § 23 ZVZ.</w:t>
            </w:r>
          </w:p>
        </w:tc>
        <w:tc>
          <w:tcPr>
            <w:tcW w:w="4059" w:type="dxa"/>
          </w:tcPr>
          <w:p w:rsidR="008F46CC" w:rsidRPr="008F46CC" w:rsidRDefault="008F46CC" w:rsidP="008F46CC">
            <w:pPr>
              <w:jc w:val="both"/>
            </w:pPr>
            <w:r w:rsidRPr="008F46CC">
              <w:t>Sektorovými zadavateli jsou zadavatelé ve smyslu § 4 odst. 3 ZZVZ.</w:t>
            </w:r>
          </w:p>
          <w:p w:rsidR="008F46CC" w:rsidRPr="008F46CC" w:rsidRDefault="008F46CC" w:rsidP="008F46CC">
            <w:pPr>
              <w:jc w:val="both"/>
            </w:pPr>
            <w:r w:rsidRPr="008F46CC">
              <w:t>Výjimka z postupů, upravených v MPZ, se vztahuje na zakázky malé hodnoty a vyšší hodnoty, které splňují podmínky pro použití výjimky stanovené v § 29, § 30 ZZVZ, nebo podmínky pro jejich zadání v jednacím řízení bez uveřejnění podle § 63 odst. 3 a 5 a § 64 až 66 ZZVZ.</w:t>
            </w:r>
          </w:p>
          <w:p w:rsidR="008F46CC" w:rsidRPr="008F46CC" w:rsidRDefault="008F46CC" w:rsidP="008F46CC">
            <w:pPr>
              <w:jc w:val="both"/>
            </w:pPr>
          </w:p>
        </w:tc>
      </w:tr>
      <w:tr w:rsidR="008F46CC" w:rsidRPr="008F46CC" w:rsidTr="003915A1">
        <w:trPr>
          <w:trHeight w:val="567"/>
        </w:trPr>
        <w:tc>
          <w:tcPr>
            <w:tcW w:w="0" w:type="auto"/>
          </w:tcPr>
          <w:p w:rsidR="008F46CC" w:rsidRPr="008F46CC" w:rsidRDefault="008F46CC" w:rsidP="008F46CC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</w:rPr>
            </w:pPr>
            <w:r w:rsidRPr="008F46CC">
              <w:rPr>
                <w:rFonts w:cs="Arial"/>
                <w:b/>
                <w:bCs/>
                <w:iCs/>
                <w:color w:val="000000"/>
              </w:rPr>
              <w:lastRenderedPageBreak/>
              <w:t xml:space="preserve">Bod 5.4 </w:t>
            </w:r>
          </w:p>
        </w:tc>
        <w:tc>
          <w:tcPr>
            <w:tcW w:w="0" w:type="auto"/>
          </w:tcPr>
          <w:p w:rsidR="008F46CC" w:rsidRPr="008F46CC" w:rsidRDefault="008F46CC" w:rsidP="008F46CC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 w:rsidRPr="008F46CC">
              <w:rPr>
                <w:rFonts w:cs="Arial"/>
                <w:iCs/>
                <w:color w:val="000000"/>
              </w:rPr>
              <w:t xml:space="preserve">Příjemci, kteří nejsou zadavateli podle ZVZ jsou povinni zadávat zakázky postupy upravenými v tomto MP při zadání zakázky malé hodnoty a při zadání zakázky vyšší hodnoty. Postupy upravenými v tomto MP nejsou povinni zadávat zakázky malé hodnoty a vyšší hodnoty, které splňují podmínky pro použití výjimky stanovené v § 18 odst. 1 až 4, § 19 a § 23 ZVZ nebo zakázky, které zadají v zadávacím řízení podle části druhé ZVZ podle podmínek v této části ZVZ uvedených. </w:t>
            </w:r>
          </w:p>
        </w:tc>
        <w:tc>
          <w:tcPr>
            <w:tcW w:w="0" w:type="auto"/>
          </w:tcPr>
          <w:p w:rsidR="008F46CC" w:rsidRPr="008F46CC" w:rsidRDefault="008F46CC" w:rsidP="008F46CC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 w:rsidRPr="008F46CC">
              <w:rPr>
                <w:rFonts w:cs="Arial"/>
                <w:iCs/>
                <w:color w:val="000000"/>
              </w:rPr>
              <w:t xml:space="preserve">Příjemci, kteří nejsou zadavateli podle ZVZ, jsou příjemci, kteří nejsou zadavateli podle ZZVZ. </w:t>
            </w:r>
          </w:p>
          <w:p w:rsidR="008F46CC" w:rsidRPr="008F46CC" w:rsidRDefault="008F46CC" w:rsidP="008F46CC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 w:rsidRPr="008F46CC">
              <w:rPr>
                <w:rFonts w:cs="Arial"/>
                <w:iCs/>
                <w:color w:val="000000"/>
              </w:rPr>
              <w:t xml:space="preserve">Výjimka z postupů, upravených v MPZ, se vztahuje na zakázky malé hodnoty a vyšší hodnoty, které splňují podmínky pro použití výjimky stanovené v § 29, § 30 ZZVZ, nebo podmínky pro jejich zadání v jednacím řízení bez uveřejnění podle § 63 odst. 3 a 5 a § 64 až 66 ZZVZ. </w:t>
            </w:r>
          </w:p>
        </w:tc>
      </w:tr>
      <w:tr w:rsidR="008F46CC" w:rsidRPr="008F46CC" w:rsidTr="008F46CC">
        <w:trPr>
          <w:trHeight w:val="1767"/>
        </w:trPr>
        <w:tc>
          <w:tcPr>
            <w:tcW w:w="0" w:type="auto"/>
          </w:tcPr>
          <w:p w:rsidR="008F46CC" w:rsidRPr="008F46CC" w:rsidRDefault="008F46CC" w:rsidP="008F46CC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</w:rPr>
            </w:pPr>
            <w:r w:rsidRPr="008F46CC">
              <w:rPr>
                <w:rFonts w:cs="Arial"/>
                <w:b/>
                <w:bCs/>
                <w:iCs/>
                <w:color w:val="000000"/>
              </w:rPr>
              <w:t xml:space="preserve">Bod 6.2.4 písm. a) </w:t>
            </w:r>
          </w:p>
        </w:tc>
        <w:tc>
          <w:tcPr>
            <w:tcW w:w="0" w:type="auto"/>
          </w:tcPr>
          <w:p w:rsidR="008F46CC" w:rsidRPr="008F46CC" w:rsidRDefault="008F46CC" w:rsidP="003915A1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 w:rsidRPr="008F46CC">
              <w:rPr>
                <w:rFonts w:cs="Arial"/>
                <w:iCs/>
                <w:color w:val="000000"/>
              </w:rPr>
              <w:t>Zakázkou na stavební práce je zakázka, jejímž předmětem je/jsou a) provedení stavebních prací, které se týkají některé z činností uvedených v příloze č. 3 k</w:t>
            </w:r>
            <w:r w:rsidR="003915A1">
              <w:rPr>
                <w:rFonts w:cs="Arial"/>
                <w:iCs/>
                <w:color w:val="000000"/>
              </w:rPr>
              <w:t> </w:t>
            </w:r>
            <w:r w:rsidRPr="008F46CC">
              <w:rPr>
                <w:rFonts w:cs="Arial"/>
                <w:iCs/>
                <w:color w:val="000000"/>
              </w:rPr>
              <w:t>ZVZ</w:t>
            </w:r>
            <w:r w:rsidR="003915A1">
              <w:rPr>
                <w:rFonts w:cs="Arial"/>
                <w:iCs/>
                <w:color w:val="000000"/>
              </w:rPr>
              <w:t>.</w:t>
            </w:r>
            <w:r w:rsidRPr="008F46CC">
              <w:rPr>
                <w:rFonts w:cs="Arial"/>
                <w:iCs/>
                <w:color w:val="000000"/>
              </w:rPr>
              <w:t xml:space="preserve"> </w:t>
            </w:r>
          </w:p>
        </w:tc>
        <w:tc>
          <w:tcPr>
            <w:tcW w:w="0" w:type="auto"/>
          </w:tcPr>
          <w:p w:rsidR="008F46CC" w:rsidRPr="008F46CC" w:rsidRDefault="008F46CC" w:rsidP="003915A1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 w:rsidRPr="008F46CC">
              <w:rPr>
                <w:rFonts w:cs="Arial"/>
                <w:iCs/>
                <w:color w:val="000000"/>
              </w:rPr>
              <w:t>Provedením stavebních prací, které se týkají některé z činností, uvedených v příloze č. 3 k ZVZ, je myšleno poskytnutí činností, uvedených v oddílu 45 hlavního slovníku jednotného klasifikačního systému pro účely veřejných zakázek podle Nařízení Evropského parlamentu a Rady (ES) č. 2195/2002 ze dne 5.</w:t>
            </w:r>
            <w:r w:rsidR="003915A1">
              <w:rPr>
                <w:rFonts w:cs="Arial"/>
                <w:iCs/>
                <w:color w:val="000000"/>
              </w:rPr>
              <w:t> </w:t>
            </w:r>
            <w:r w:rsidRPr="008F46CC">
              <w:rPr>
                <w:rFonts w:cs="Arial"/>
                <w:iCs/>
                <w:color w:val="000000"/>
              </w:rPr>
              <w:t xml:space="preserve">listopadu 2002 o společném slovníku pro veřejné zakázky (CPV), v platném znění. </w:t>
            </w:r>
          </w:p>
        </w:tc>
      </w:tr>
      <w:tr w:rsidR="008F46CC" w:rsidRPr="008F46CC" w:rsidTr="008F46CC">
        <w:trPr>
          <w:trHeight w:val="251"/>
        </w:trPr>
        <w:tc>
          <w:tcPr>
            <w:tcW w:w="0" w:type="auto"/>
          </w:tcPr>
          <w:p w:rsidR="008F46CC" w:rsidRPr="008F46CC" w:rsidRDefault="008F46CC" w:rsidP="008F46CC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</w:rPr>
            </w:pPr>
            <w:r w:rsidRPr="008F46CC">
              <w:rPr>
                <w:rFonts w:cs="Arial"/>
                <w:b/>
                <w:bCs/>
                <w:iCs/>
                <w:color w:val="000000"/>
              </w:rPr>
              <w:t xml:space="preserve">Bod 7.3.2 písm. b) </w:t>
            </w:r>
          </w:p>
        </w:tc>
        <w:tc>
          <w:tcPr>
            <w:tcW w:w="0" w:type="auto"/>
          </w:tcPr>
          <w:p w:rsidR="008F46CC" w:rsidRPr="008F46CC" w:rsidRDefault="008F46CC" w:rsidP="008F46CC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 w:rsidRPr="008F46CC">
              <w:rPr>
                <w:rFonts w:cs="Arial"/>
                <w:iCs/>
                <w:color w:val="000000"/>
              </w:rPr>
              <w:t xml:space="preserve">Odkaz na nařízení vlády č. 77/2008 Sb. </w:t>
            </w:r>
          </w:p>
        </w:tc>
        <w:tc>
          <w:tcPr>
            <w:tcW w:w="0" w:type="auto"/>
          </w:tcPr>
          <w:p w:rsidR="008F46CC" w:rsidRPr="008F46CC" w:rsidRDefault="008F46CC" w:rsidP="003915A1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F46CC">
              <w:rPr>
                <w:rFonts w:asciiTheme="minorHAnsi" w:hAnsiTheme="minorHAnsi"/>
                <w:iCs/>
                <w:sz w:val="22"/>
                <w:szCs w:val="22"/>
              </w:rPr>
              <w:t>Pokud MPZ odkazuje na nařízení vlády č.</w:t>
            </w:r>
            <w:r w:rsidR="003915A1">
              <w:rPr>
                <w:rFonts w:asciiTheme="minorHAnsi" w:hAnsiTheme="minorHAnsi"/>
                <w:iCs/>
                <w:sz w:val="22"/>
                <w:szCs w:val="22"/>
              </w:rPr>
              <w:t> </w:t>
            </w:r>
            <w:r w:rsidRPr="008F46CC">
              <w:rPr>
                <w:rFonts w:asciiTheme="minorHAnsi" w:hAnsiTheme="minorHAnsi"/>
                <w:iCs/>
                <w:sz w:val="22"/>
                <w:szCs w:val="22"/>
              </w:rPr>
              <w:t xml:space="preserve">77/2008 Sb., je myšleno nařízení vlády č. 172/2016 Sb. ze dne 11. května 2016 o stanovení finančních limitů a částek pro účely zákona o zadávání veřejných zakázek. </w:t>
            </w:r>
          </w:p>
        </w:tc>
      </w:tr>
    </w:tbl>
    <w:p w:rsidR="008F46CC" w:rsidRDefault="008F46CC"/>
    <w:sectPr w:rsidR="008F46C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DED" w:rsidRDefault="004D7DED" w:rsidP="008F46CC">
      <w:pPr>
        <w:spacing w:after="0" w:line="240" w:lineRule="auto"/>
      </w:pPr>
      <w:r>
        <w:separator/>
      </w:r>
    </w:p>
  </w:endnote>
  <w:endnote w:type="continuationSeparator" w:id="0">
    <w:p w:rsidR="004D7DED" w:rsidRDefault="004D7DED" w:rsidP="008F4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7605934"/>
      <w:docPartObj>
        <w:docPartGallery w:val="Page Numbers (Bottom of Page)"/>
        <w:docPartUnique/>
      </w:docPartObj>
    </w:sdtPr>
    <w:sdtEndPr/>
    <w:sdtContent>
      <w:p w:rsidR="008F46CC" w:rsidRDefault="008F46C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62E">
          <w:rPr>
            <w:noProof/>
          </w:rPr>
          <w:t>2</w:t>
        </w:r>
        <w:r>
          <w:fldChar w:fldCharType="end"/>
        </w:r>
      </w:p>
    </w:sdtContent>
  </w:sdt>
  <w:p w:rsidR="008F46CC" w:rsidRDefault="008F46C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DED" w:rsidRDefault="004D7DED" w:rsidP="008F46CC">
      <w:pPr>
        <w:spacing w:after="0" w:line="240" w:lineRule="auto"/>
      </w:pPr>
      <w:r>
        <w:separator/>
      </w:r>
    </w:p>
  </w:footnote>
  <w:footnote w:type="continuationSeparator" w:id="0">
    <w:p w:rsidR="004D7DED" w:rsidRDefault="004D7DED" w:rsidP="008F46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6CC"/>
    <w:rsid w:val="00092C73"/>
    <w:rsid w:val="003372BD"/>
    <w:rsid w:val="003915A1"/>
    <w:rsid w:val="004D7DED"/>
    <w:rsid w:val="008F46CC"/>
    <w:rsid w:val="00910F8D"/>
    <w:rsid w:val="009321EE"/>
    <w:rsid w:val="00A5462E"/>
    <w:rsid w:val="00CD68EC"/>
    <w:rsid w:val="00E9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BF1829-63AB-4708-8E09-3954E983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F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46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8F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46CC"/>
  </w:style>
  <w:style w:type="paragraph" w:styleId="Zpat">
    <w:name w:val="footer"/>
    <w:basedOn w:val="Normln"/>
    <w:link w:val="ZpatChar"/>
    <w:uiPriority w:val="99"/>
    <w:unhideWhenUsed/>
    <w:rsid w:val="008F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46CC"/>
  </w:style>
  <w:style w:type="character" w:customStyle="1" w:styleId="apple-converted-space">
    <w:name w:val="apple-converted-space"/>
    <w:basedOn w:val="Standardnpsmoodstavce"/>
    <w:rsid w:val="00A54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</dc:creator>
  <cp:lastModifiedBy>Acer</cp:lastModifiedBy>
  <cp:revision>3</cp:revision>
  <dcterms:created xsi:type="dcterms:W3CDTF">2017-03-25T14:58:00Z</dcterms:created>
  <dcterms:modified xsi:type="dcterms:W3CDTF">2017-03-25T15:08:00Z</dcterms:modified>
</cp:coreProperties>
</file>